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tabs>
          <w:tab w:val="left" w:pos="6066"/>
        </w:tabs>
        <w:jc w:val="center"/>
        <w:outlineLvl w:val="9"/>
      </w:pPr>
      <w:r>
        <w:rPr>
          <w:rFonts w:hint="eastAsia" w:ascii="楷体" w:hAnsi="楷体" w:eastAsia="楷体" w:cs="楷体"/>
          <w:b/>
          <w:bCs/>
          <w:color w:val="000000" w:themeColor="text1"/>
          <w:sz w:val="48"/>
          <w:szCs w:val="48"/>
          <w14:textFill>
            <w14:solidFill>
              <w14:schemeClr w14:val="tx1"/>
            </w14:solidFill>
          </w14:textFill>
        </w:rPr>
        <w:t>前</w:t>
      </w:r>
      <w:r>
        <w:rPr>
          <w:rFonts w:hint="eastAsia" w:ascii="楷体" w:hAnsi="楷体" w:eastAsia="楷体" w:cs="楷体"/>
          <w:b/>
          <w:bCs/>
          <w:color w:val="000000" w:themeColor="text1"/>
          <w:sz w:val="48"/>
          <w:szCs w:val="48"/>
          <w:lang w:val="en-US" w:eastAsia="zh-CN"/>
          <w14:textFill>
            <w14:solidFill>
              <w14:schemeClr w14:val="tx1"/>
            </w14:solidFill>
          </w14:textFill>
        </w:rPr>
        <w:t xml:space="preserve"> </w:t>
      </w:r>
      <w:r>
        <w:rPr>
          <w:rFonts w:hint="eastAsia" w:ascii="楷体" w:hAnsi="楷体" w:eastAsia="楷体" w:cs="楷体"/>
          <w:b/>
          <w:bCs/>
          <w:color w:val="000000" w:themeColor="text1"/>
          <w:sz w:val="48"/>
          <w:szCs w:val="48"/>
          <w14:textFill>
            <w14:solidFill>
              <w14:schemeClr w14:val="tx1"/>
            </w14:solidFill>
          </w14:textFill>
        </w:rPr>
        <w:t>言</w:t>
      </w:r>
    </w:p>
    <w:p>
      <w:pPr>
        <w:keepNext w:val="0"/>
        <w:keepLines w:val="0"/>
        <w:pageBreakBefore w:val="0"/>
        <w:widowControl w:val="0"/>
        <w:kinsoku/>
        <w:wordWrap/>
        <w:overflowPunct/>
        <w:topLinePunct w:val="0"/>
        <w:autoSpaceDE/>
        <w:autoSpaceDN/>
        <w:bidi w:val="0"/>
        <w:adjustRightInd/>
        <w:snapToGrid/>
        <w:spacing w:before="0" w:after="0" w:line="360" w:lineRule="auto"/>
        <w:ind w:firstLine="440" w:firstLineChars="200"/>
        <w:jc w:val="both"/>
        <w:textAlignment w:val="auto"/>
        <w:rPr>
          <w:sz w:val="22"/>
          <w:szCs w:val="22"/>
        </w:rPr>
      </w:pPr>
      <w:r>
        <w:rPr>
          <w:rFonts w:ascii="楷体" w:hAnsi="楷体" w:eastAsia="楷体" w:cs="楷体"/>
          <w:color w:val="000000"/>
          <w:sz w:val="22"/>
          <w:szCs w:val="22"/>
        </w:rPr>
        <w:t>大家好！</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sz w:val="22"/>
          <w:szCs w:val="22"/>
        </w:rPr>
      </w:pPr>
      <w:r>
        <w:rPr>
          <w:rFonts w:hint="eastAsia" w:ascii="楷体" w:hAnsi="楷体" w:eastAsia="楷体" w:cs="楷体"/>
          <w:sz w:val="22"/>
          <w:szCs w:val="22"/>
          <w:lang w:val="en-US" w:eastAsia="zh-CN"/>
        </w:rPr>
        <w:t>本文</w:t>
      </w:r>
      <w:r>
        <w:rPr>
          <w:rFonts w:ascii="楷体" w:hAnsi="楷体" w:eastAsia="楷体" w:cs="楷体"/>
          <w:sz w:val="22"/>
          <w:szCs w:val="22"/>
        </w:rPr>
        <w:t>内容主要是追问中国股市为什么几十年来危机重重、周期性崩溃，内容上又显得有点虚。之所以长且虚，是因为如下原因：</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ascii="楷体" w:hAnsi="楷体" w:eastAsia="楷体" w:cs="楷体"/>
          <w:sz w:val="22"/>
          <w:szCs w:val="22"/>
        </w:rPr>
      </w:pPr>
      <w:r>
        <w:rPr>
          <w:rFonts w:hint="eastAsia" w:ascii="楷体" w:hAnsi="楷体" w:eastAsia="楷体" w:cs="楷体"/>
          <w:sz w:val="22"/>
          <w:szCs w:val="22"/>
          <w:lang w:val="en-US" w:eastAsia="zh-CN"/>
        </w:rPr>
        <w:t>我们</w:t>
      </w:r>
      <w:r>
        <w:rPr>
          <w:rFonts w:ascii="楷体" w:hAnsi="楷体" w:eastAsia="楷体" w:cs="楷体"/>
          <w:sz w:val="22"/>
          <w:szCs w:val="22"/>
        </w:rPr>
        <w:t>没有重点讨论投资公司的基本面，也没有重点讨论行业。我们主要集中追问资本市场深层次的问题到底是什么。设定这样的内容，是因为我们已经明确看到了我们投资的银行股，它们的经营数据都是好转的，这种好转甚至超过了贵州茅台的净利润增长，资产质量也是历史最好的。在这样的基本面事实面前，估值修复不发生是没有任何理由的。但现实的市场却是在相当长的时间里，任何良好的数据增长均不能带来股价的实质性修复。于是市场实际上真实地发生了完全的失灵，足以颠覆格雷厄姆所说的最终要估值修复。面对这种现象，我们的管理团队做了大量的工作，反复寻找，是不是我们看错了，</w:t>
      </w:r>
      <w:r>
        <w:rPr>
          <w:rFonts w:hint="eastAsia" w:ascii="楷体" w:hAnsi="楷体" w:eastAsia="楷体" w:cs="楷体"/>
          <w:sz w:val="22"/>
          <w:szCs w:val="22"/>
          <w:lang w:eastAsia="zh"/>
        </w:rPr>
        <w:t>是否</w:t>
      </w:r>
      <w:r>
        <w:rPr>
          <w:rFonts w:ascii="楷体" w:hAnsi="楷体" w:eastAsia="楷体" w:cs="楷体"/>
          <w:sz w:val="22"/>
          <w:szCs w:val="22"/>
        </w:rPr>
        <w:t>有潜在的我们没有发现的同时又被市场发现的利空和风险</w:t>
      </w:r>
      <w:r>
        <w:rPr>
          <w:rFonts w:hint="eastAsia" w:ascii="楷体" w:hAnsi="楷体" w:eastAsia="楷体" w:cs="楷体"/>
          <w:sz w:val="22"/>
          <w:szCs w:val="22"/>
          <w:lang w:eastAsia="zh"/>
        </w:rPr>
        <w:t>？</w:t>
      </w:r>
      <w:r>
        <w:rPr>
          <w:rFonts w:ascii="楷体" w:hAnsi="楷体" w:eastAsia="楷体" w:cs="楷体"/>
          <w:sz w:val="22"/>
          <w:szCs w:val="22"/>
        </w:rPr>
        <w:t>大量工作之后，证明不存在这种可能性，我们的判断是正确的。</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ascii="楷体" w:hAnsi="楷体" w:eastAsia="楷体" w:cs="楷体"/>
          <w:sz w:val="22"/>
          <w:szCs w:val="22"/>
        </w:rPr>
      </w:pPr>
      <w:r>
        <w:rPr>
          <w:rFonts w:ascii="楷体" w:hAnsi="楷体" w:eastAsia="楷体" w:cs="楷体"/>
          <w:sz w:val="22"/>
          <w:szCs w:val="22"/>
        </w:rPr>
        <w:t>为什么我们是正确的</w:t>
      </w:r>
      <w:r>
        <w:rPr>
          <w:rFonts w:hint="eastAsia" w:ascii="楷体" w:hAnsi="楷体" w:eastAsia="楷体" w:cs="楷体"/>
          <w:sz w:val="22"/>
          <w:szCs w:val="22"/>
          <w:lang w:eastAsia="zh"/>
        </w:rPr>
        <w:t>？</w:t>
      </w:r>
      <w:r>
        <w:rPr>
          <w:rFonts w:ascii="楷体" w:hAnsi="楷体" w:eastAsia="楷体" w:cs="楷体"/>
          <w:sz w:val="22"/>
          <w:szCs w:val="22"/>
        </w:rPr>
        <w:t>低估确实是存在的，良好的数据也出来了，</w:t>
      </w:r>
      <w:r>
        <w:rPr>
          <w:rFonts w:hint="eastAsia" w:ascii="楷体" w:hAnsi="楷体" w:eastAsia="楷体" w:cs="楷体"/>
          <w:sz w:val="22"/>
          <w:szCs w:val="22"/>
          <w:lang w:eastAsia="zh"/>
        </w:rPr>
        <w:t>为什么</w:t>
      </w:r>
      <w:r>
        <w:rPr>
          <w:rFonts w:ascii="楷体" w:hAnsi="楷体" w:eastAsia="楷体" w:cs="楷体"/>
          <w:sz w:val="22"/>
          <w:szCs w:val="22"/>
        </w:rPr>
        <w:t>就是不发生估值修复？</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sz w:val="22"/>
          <w:szCs w:val="22"/>
        </w:rPr>
      </w:pPr>
      <w:r>
        <w:rPr>
          <w:rFonts w:ascii="楷体" w:hAnsi="楷体" w:eastAsia="楷体" w:cs="楷体"/>
          <w:sz w:val="22"/>
          <w:szCs w:val="22"/>
        </w:rPr>
        <w:t>我们所写的数万字分析，就是在追问这个问题的答案形成的系统化、体系化的思考。</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ascii="楷体" w:hAnsi="楷体" w:eastAsia="楷体" w:cs="楷体"/>
          <w:sz w:val="22"/>
          <w:szCs w:val="22"/>
        </w:rPr>
      </w:pPr>
      <w:r>
        <w:rPr>
          <w:rFonts w:hint="eastAsia" w:ascii="楷体" w:hAnsi="楷体" w:eastAsia="楷体" w:cs="楷体"/>
          <w:sz w:val="22"/>
          <w:szCs w:val="22"/>
          <w:lang w:val="en-US" w:eastAsia="zh-CN"/>
        </w:rPr>
        <w:t>凌通盛泰</w:t>
      </w:r>
      <w:r>
        <w:rPr>
          <w:rFonts w:ascii="楷体" w:hAnsi="楷体" w:eastAsia="楷体" w:cs="楷体"/>
          <w:sz w:val="22"/>
          <w:szCs w:val="22"/>
        </w:rPr>
        <w:t>研究团队在长期研究过程中已经证明，我们找到的良好经营数据，不能带来估值修复的原因与刚刚发生过的一次中国股市惨烈的崩溃是同一个原因。二者的根源是一样的，只是在不同领域的表现。不能实现估值修复的原因，同时</w:t>
      </w:r>
      <w:r>
        <w:rPr>
          <w:rFonts w:hint="eastAsia" w:ascii="楷体" w:hAnsi="楷体" w:eastAsia="楷体" w:cs="楷体"/>
          <w:sz w:val="22"/>
          <w:szCs w:val="22"/>
          <w:lang w:eastAsia="zh-CN"/>
        </w:rPr>
        <w:t>也</w:t>
      </w:r>
      <w:r>
        <w:rPr>
          <w:rFonts w:ascii="楷体" w:hAnsi="楷体" w:eastAsia="楷体" w:cs="楷体"/>
          <w:sz w:val="22"/>
          <w:szCs w:val="22"/>
        </w:rPr>
        <w:t>导致了中国股市的全面崩溃。</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sz w:val="22"/>
          <w:szCs w:val="22"/>
        </w:rPr>
      </w:pPr>
      <w:r>
        <w:rPr>
          <w:rFonts w:ascii="楷体" w:hAnsi="楷体" w:eastAsia="楷体" w:cs="楷体"/>
          <w:sz w:val="22"/>
          <w:szCs w:val="22"/>
        </w:rPr>
        <w:t>我们这篇长达5万字以上的</w:t>
      </w:r>
      <w:r>
        <w:rPr>
          <w:rFonts w:hint="eastAsia" w:ascii="楷体" w:hAnsi="楷体" w:eastAsia="楷体" w:cs="楷体"/>
          <w:sz w:val="22"/>
          <w:szCs w:val="22"/>
          <w:lang w:eastAsia="zh-CN"/>
        </w:rPr>
        <w:t>《</w:t>
      </w:r>
      <w:r>
        <w:rPr>
          <w:rFonts w:ascii="楷体" w:hAnsi="楷体" w:eastAsia="楷体" w:cs="楷体"/>
          <w:sz w:val="22"/>
          <w:szCs w:val="22"/>
        </w:rPr>
        <w:t>中国股市危机重重的深层次原因</w:t>
      </w:r>
      <w:r>
        <w:rPr>
          <w:rFonts w:hint="eastAsia" w:ascii="楷体" w:hAnsi="楷体" w:eastAsia="楷体" w:cs="楷体"/>
          <w:sz w:val="22"/>
          <w:szCs w:val="22"/>
          <w:lang w:eastAsia="zh-CN"/>
        </w:rPr>
        <w:t>》</w:t>
      </w:r>
      <w:r>
        <w:rPr>
          <w:rFonts w:ascii="楷体" w:hAnsi="楷体" w:eastAsia="楷体" w:cs="楷体"/>
          <w:sz w:val="22"/>
          <w:szCs w:val="22"/>
        </w:rPr>
        <w:t>的文章，既分析了中国股市的问题根源，也解释了为什么我们作为投资者正确预判基本面</w:t>
      </w:r>
      <w:r>
        <w:rPr>
          <w:rFonts w:hint="eastAsia" w:ascii="楷体" w:hAnsi="楷体" w:eastAsia="楷体" w:cs="楷体"/>
          <w:sz w:val="22"/>
          <w:szCs w:val="22"/>
          <w:lang w:eastAsia="zh"/>
        </w:rPr>
        <w:t>，</w:t>
      </w:r>
      <w:r>
        <w:rPr>
          <w:rFonts w:ascii="楷体" w:hAnsi="楷体" w:eastAsia="楷体" w:cs="楷体"/>
          <w:strike w:val="0"/>
          <w:dstrike w:val="0"/>
          <w:sz w:val="22"/>
          <w:szCs w:val="22"/>
          <w:highlight w:val="none"/>
        </w:rPr>
        <w:t>且</w:t>
      </w:r>
      <w:r>
        <w:rPr>
          <w:rFonts w:ascii="楷体" w:hAnsi="楷体" w:eastAsia="楷体" w:cs="楷体"/>
          <w:sz w:val="22"/>
          <w:szCs w:val="22"/>
        </w:rPr>
        <w:t>基本面已经表现出良好的增长，</w:t>
      </w:r>
      <w:r>
        <w:rPr>
          <w:rFonts w:hint="eastAsia" w:ascii="楷体" w:hAnsi="楷体" w:eastAsia="楷体" w:cs="楷体"/>
          <w:sz w:val="22"/>
          <w:szCs w:val="22"/>
          <w:lang w:eastAsia="zh"/>
        </w:rPr>
        <w:t>但</w:t>
      </w:r>
      <w:r>
        <w:rPr>
          <w:rFonts w:ascii="楷体" w:hAnsi="楷体" w:eastAsia="楷体" w:cs="楷体"/>
          <w:sz w:val="22"/>
          <w:szCs w:val="22"/>
        </w:rPr>
        <w:t>估值修复却不发生，也就是我们无法兑现的原因，从而它对我们意义重大。</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ascii="楷体" w:hAnsi="楷体" w:eastAsia="楷体" w:cs="楷体"/>
          <w:sz w:val="22"/>
          <w:szCs w:val="22"/>
        </w:rPr>
      </w:pPr>
      <w:r>
        <w:rPr>
          <w:rFonts w:ascii="楷体" w:hAnsi="楷体" w:eastAsia="楷体" w:cs="楷体"/>
          <w:sz w:val="22"/>
          <w:szCs w:val="22"/>
        </w:rPr>
        <w:t>在这篇</w:t>
      </w:r>
      <w:r>
        <w:rPr>
          <w:rFonts w:hint="eastAsia" w:ascii="楷体" w:hAnsi="楷体" w:eastAsia="楷体" w:cs="楷体"/>
          <w:sz w:val="22"/>
          <w:szCs w:val="22"/>
          <w:highlight w:val="none"/>
          <w:lang w:eastAsia="zh"/>
        </w:rPr>
        <w:t>季报</w:t>
      </w:r>
      <w:r>
        <w:rPr>
          <w:rFonts w:ascii="楷体" w:hAnsi="楷体" w:eastAsia="楷体" w:cs="楷体"/>
          <w:sz w:val="22"/>
          <w:szCs w:val="22"/>
        </w:rPr>
        <w:t>中，我认定资本市场周期性崩溃，理性价值投资者在较长时间中无法兑现的根本原因是资本市场上最主流的盈利模式完全跟价值投资无关</w:t>
      </w:r>
      <w:r>
        <w:rPr>
          <w:rFonts w:hint="eastAsia" w:ascii="楷体" w:hAnsi="楷体" w:eastAsia="楷体" w:cs="楷体"/>
          <w:sz w:val="22"/>
          <w:szCs w:val="22"/>
          <w:highlight w:val="none"/>
          <w:lang w:eastAsia="zh"/>
        </w:rPr>
        <w:t>，</w:t>
      </w:r>
      <w:r>
        <w:rPr>
          <w:rFonts w:ascii="楷体" w:hAnsi="楷体" w:eastAsia="楷体" w:cs="楷体"/>
          <w:sz w:val="22"/>
          <w:szCs w:val="22"/>
        </w:rPr>
        <w:t>最主流的盈利模式不需要借助于价值规律和合理的估值，而是要借助于不合理的估值，借助于泡沫。这个原因已经导致市场崩溃，市场崩溃祸及中国金融稳定，更阻挡了中国经济转型升级的出路。</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sz w:val="22"/>
          <w:szCs w:val="22"/>
        </w:rPr>
      </w:pPr>
      <w:r>
        <w:rPr>
          <w:rFonts w:ascii="楷体" w:hAnsi="楷体" w:eastAsia="楷体" w:cs="楷体"/>
          <w:sz w:val="22"/>
          <w:szCs w:val="22"/>
        </w:rPr>
        <w:t>在这种情况下，</w:t>
      </w:r>
      <w:r>
        <w:rPr>
          <w:rFonts w:hint="eastAsia" w:ascii="楷体" w:hAnsi="楷体" w:eastAsia="楷体" w:cs="楷体"/>
          <w:sz w:val="22"/>
          <w:szCs w:val="22"/>
          <w:highlight w:val="none"/>
          <w:lang w:eastAsia="zh"/>
        </w:rPr>
        <w:t>（</w:t>
      </w:r>
      <w:r>
        <w:rPr>
          <w:rFonts w:ascii="楷体" w:hAnsi="楷体" w:eastAsia="楷体" w:cs="楷体"/>
          <w:sz w:val="22"/>
          <w:szCs w:val="22"/>
        </w:rPr>
        <w:t>中国资本</w:t>
      </w:r>
      <w:r>
        <w:rPr>
          <w:rFonts w:hint="eastAsia" w:ascii="楷体" w:hAnsi="楷体" w:eastAsia="楷体" w:cs="楷体"/>
          <w:sz w:val="22"/>
          <w:szCs w:val="22"/>
          <w:lang w:eastAsia="zh-CN"/>
        </w:rPr>
        <w:t>市场</w:t>
      </w:r>
      <w:r>
        <w:rPr>
          <w:rFonts w:hint="eastAsia" w:ascii="楷体" w:hAnsi="楷体" w:eastAsia="楷体" w:cs="楷体"/>
          <w:sz w:val="22"/>
          <w:szCs w:val="22"/>
          <w:highlight w:val="none"/>
          <w:lang w:eastAsia="zh"/>
        </w:rPr>
        <w:t>）</w:t>
      </w:r>
      <w:r>
        <w:rPr>
          <w:rFonts w:ascii="楷体" w:hAnsi="楷体" w:eastAsia="楷体" w:cs="楷体"/>
          <w:sz w:val="22"/>
          <w:szCs w:val="22"/>
        </w:rPr>
        <w:t>就会必然地发生改变。</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楷体" w:hAnsi="楷体" w:eastAsia="楷体" w:cs="楷体"/>
          <w:sz w:val="22"/>
          <w:szCs w:val="22"/>
          <w:highlight w:val="yellow"/>
          <w:lang w:eastAsia="zh"/>
        </w:rPr>
      </w:pPr>
      <w:r>
        <w:rPr>
          <w:rFonts w:ascii="楷体" w:hAnsi="楷体" w:eastAsia="楷体" w:cs="楷体"/>
          <w:sz w:val="22"/>
          <w:szCs w:val="22"/>
        </w:rPr>
        <w:t>为什么遭遇了危机和崩溃的中国资本</w:t>
      </w:r>
      <w:r>
        <w:rPr>
          <w:rFonts w:hint="eastAsia" w:ascii="楷体" w:hAnsi="楷体" w:eastAsia="楷体" w:cs="楷体"/>
          <w:sz w:val="22"/>
          <w:szCs w:val="22"/>
          <w:lang w:eastAsia="zh-CN"/>
        </w:rPr>
        <w:t>市场</w:t>
      </w:r>
      <w:r>
        <w:rPr>
          <w:rFonts w:hint="eastAsia" w:ascii="楷体" w:hAnsi="楷体" w:eastAsia="楷体" w:cs="楷体"/>
          <w:sz w:val="22"/>
          <w:szCs w:val="22"/>
          <w:highlight w:val="none"/>
          <w:lang w:eastAsia="zh"/>
        </w:rPr>
        <w:t>会</w:t>
      </w:r>
      <w:r>
        <w:rPr>
          <w:rFonts w:ascii="楷体" w:hAnsi="楷体" w:eastAsia="楷体" w:cs="楷体"/>
          <w:sz w:val="22"/>
          <w:szCs w:val="22"/>
        </w:rPr>
        <w:t>迎来必然</w:t>
      </w:r>
      <w:r>
        <w:rPr>
          <w:rFonts w:hint="eastAsia" w:ascii="楷体" w:hAnsi="楷体" w:eastAsia="楷体" w:cs="楷体"/>
          <w:sz w:val="22"/>
          <w:szCs w:val="22"/>
          <w:highlight w:val="none"/>
          <w:lang w:eastAsia="zh"/>
        </w:rPr>
        <w:t>地</w:t>
      </w:r>
      <w:r>
        <w:rPr>
          <w:rFonts w:hint="eastAsia" w:ascii="楷体" w:hAnsi="楷体" w:eastAsia="楷体" w:cs="楷体"/>
          <w:sz w:val="22"/>
          <w:szCs w:val="22"/>
          <w:lang w:eastAsia="zh"/>
        </w:rPr>
        <w:t>、</w:t>
      </w:r>
      <w:r>
        <w:rPr>
          <w:rFonts w:ascii="楷体" w:hAnsi="楷体" w:eastAsia="楷体" w:cs="楷体"/>
          <w:sz w:val="22"/>
          <w:szCs w:val="22"/>
        </w:rPr>
        <w:t>全面</w:t>
      </w:r>
      <w:r>
        <w:rPr>
          <w:rFonts w:hint="eastAsia" w:ascii="楷体" w:hAnsi="楷体" w:eastAsia="楷体" w:cs="楷体"/>
          <w:sz w:val="22"/>
          <w:szCs w:val="22"/>
          <w:highlight w:val="none"/>
          <w:lang w:eastAsia="zh"/>
        </w:rPr>
        <w:t>地</w:t>
      </w:r>
      <w:r>
        <w:rPr>
          <w:rFonts w:hint="eastAsia" w:ascii="楷体" w:hAnsi="楷体" w:eastAsia="楷体" w:cs="楷体"/>
          <w:sz w:val="22"/>
          <w:szCs w:val="22"/>
          <w:lang w:eastAsia="zh"/>
        </w:rPr>
        <w:t>、</w:t>
      </w:r>
      <w:r>
        <w:rPr>
          <w:rFonts w:ascii="楷体" w:hAnsi="楷体" w:eastAsia="楷体" w:cs="楷体"/>
          <w:sz w:val="22"/>
          <w:szCs w:val="22"/>
        </w:rPr>
        <w:t>深刻</w:t>
      </w:r>
      <w:r>
        <w:rPr>
          <w:rFonts w:hint="eastAsia" w:ascii="楷体" w:hAnsi="楷体" w:eastAsia="楷体" w:cs="楷体"/>
          <w:sz w:val="22"/>
          <w:szCs w:val="22"/>
          <w:highlight w:val="none"/>
          <w:lang w:eastAsia="zh"/>
        </w:rPr>
        <w:t>地</w:t>
      </w:r>
      <w:r>
        <w:rPr>
          <w:rFonts w:ascii="楷体" w:hAnsi="楷体" w:eastAsia="楷体" w:cs="楷体"/>
          <w:sz w:val="22"/>
          <w:szCs w:val="22"/>
        </w:rPr>
        <w:t>改变</w:t>
      </w:r>
      <w:r>
        <w:rPr>
          <w:rFonts w:hint="eastAsia" w:ascii="楷体" w:hAnsi="楷体" w:eastAsia="楷体" w:cs="楷体"/>
          <w:sz w:val="22"/>
          <w:szCs w:val="22"/>
          <w:highlight w:val="none"/>
          <w:lang w:eastAsia="zh"/>
        </w:rPr>
        <w:t>？</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sz w:val="22"/>
          <w:szCs w:val="22"/>
        </w:rPr>
      </w:pPr>
      <w:r>
        <w:rPr>
          <w:rFonts w:ascii="楷体" w:hAnsi="楷体" w:eastAsia="楷体" w:cs="楷体"/>
          <w:sz w:val="22"/>
          <w:szCs w:val="22"/>
        </w:rPr>
        <w:t>前证监会主席助理</w:t>
      </w:r>
      <w:r>
        <w:rPr>
          <w:rFonts w:ascii="楷体" w:hAnsi="楷体" w:eastAsia="楷体" w:cs="楷体"/>
          <w:sz w:val="22"/>
          <w:szCs w:val="22"/>
          <w:highlight w:val="none"/>
        </w:rPr>
        <w:t>张育军</w:t>
      </w:r>
      <w:r>
        <w:rPr>
          <w:rFonts w:ascii="楷体" w:hAnsi="楷体" w:eastAsia="楷体" w:cs="楷体"/>
          <w:sz w:val="22"/>
          <w:szCs w:val="22"/>
        </w:rPr>
        <w:t>，因在2015年杠杆牛崩溃主持救市时谋私利</w:t>
      </w:r>
      <w:r>
        <w:rPr>
          <w:rFonts w:hint="eastAsia" w:ascii="楷体" w:hAnsi="楷体" w:eastAsia="楷体" w:cs="楷体"/>
          <w:sz w:val="22"/>
          <w:szCs w:val="22"/>
          <w:highlight w:val="none"/>
          <w:lang w:eastAsia="zh"/>
        </w:rPr>
        <w:t>而</w:t>
      </w:r>
      <w:r>
        <w:rPr>
          <w:rFonts w:ascii="楷体" w:hAnsi="楷体" w:eastAsia="楷体" w:cs="楷体"/>
          <w:sz w:val="22"/>
          <w:szCs w:val="22"/>
        </w:rPr>
        <w:t>被捕入狱，曾经写过一本影响力极大、好评度极高的</w:t>
      </w:r>
      <w:r>
        <w:rPr>
          <w:rFonts w:ascii="楷体" w:hAnsi="楷体" w:eastAsia="楷体" w:cs="楷体"/>
          <w:strike/>
          <w:dstrike w:val="0"/>
          <w:sz w:val="22"/>
          <w:szCs w:val="22"/>
          <w:highlight w:val="none"/>
        </w:rPr>
        <w:t>书</w:t>
      </w:r>
      <w:r>
        <w:rPr>
          <w:rFonts w:ascii="楷体" w:hAnsi="楷体" w:eastAsia="楷体" w:cs="楷体"/>
          <w:sz w:val="22"/>
          <w:szCs w:val="22"/>
        </w:rPr>
        <w:t>《金融危机与改革》。张育军写道：</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sz w:val="22"/>
          <w:szCs w:val="22"/>
        </w:rPr>
      </w:pPr>
      <w:r>
        <w:rPr>
          <w:rFonts w:ascii="楷体" w:hAnsi="楷体" w:eastAsia="楷体" w:cs="楷体"/>
          <w:sz w:val="22"/>
          <w:szCs w:val="22"/>
        </w:rPr>
        <w:t>“每一次金融危机后都会产生一轮全新改革，最深刻的改革往往产生于最严重的危机之后。危机产生的巨大损害与冲击，倒逼政府决策部门、市场主体、社会民众避开政策立场分歧、意识形态纠缠、政治利益考量，从切肤之痛中形成推动改革的强烈意愿和共识，迅速推进平时举步维艰的改革。只有伤得越深，改革才能越坚决、越彻底。一旦危机平复，政府及社会很容易“好了伤疤忘了疼”，各方分歧牵制决策，改革阻力重新加大，社会矛盾及问题也会延迟解决。因此从一定意义上讲，危机是改革的最佳助推器，危机时期是推进改革转瞬即逝、不容错失的重要机遇期。”</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ascii="楷体" w:hAnsi="楷体" w:eastAsia="楷体" w:cs="楷体"/>
          <w:sz w:val="22"/>
          <w:szCs w:val="22"/>
        </w:rPr>
      </w:pPr>
      <w:r>
        <w:rPr>
          <w:rFonts w:ascii="楷体" w:hAnsi="楷体" w:eastAsia="楷体" w:cs="楷体"/>
          <w:sz w:val="22"/>
          <w:szCs w:val="22"/>
        </w:rPr>
        <w:t>说实话，张育军在高位谋私，虽然罪该万死，但是他的这段话学术水平是非常高的。中国股市现在的状况就是张育军所说的“只有伤得越深，改革才能越坚决、越彻底！”事实上，改革已经开始了，春节前，证监会主席换人就是改革的前奏。随后将会有一系列重大措施的推出。这些将要推出的措施会深刻地影响中国资本市场，并塑造未来10</w:t>
      </w:r>
      <w:r>
        <w:rPr>
          <w:rFonts w:hint="eastAsia" w:ascii="楷体" w:hAnsi="楷体" w:eastAsia="楷体" w:cs="楷体"/>
          <w:sz w:val="22"/>
          <w:szCs w:val="22"/>
          <w:lang w:eastAsia="zh-CN"/>
        </w:rPr>
        <w:t>～</w:t>
      </w:r>
      <w:r>
        <w:rPr>
          <w:rFonts w:ascii="楷体" w:hAnsi="楷体" w:eastAsia="楷体" w:cs="楷体"/>
          <w:sz w:val="22"/>
          <w:szCs w:val="22"/>
        </w:rPr>
        <w:t>20年乃至更长期的中国资本市场。</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ascii="楷体" w:hAnsi="楷体" w:eastAsia="楷体" w:cs="楷体"/>
          <w:sz w:val="22"/>
          <w:szCs w:val="22"/>
        </w:rPr>
      </w:pPr>
      <w:r>
        <w:rPr>
          <w:rFonts w:ascii="楷体" w:hAnsi="楷体" w:eastAsia="楷体" w:cs="楷体"/>
          <w:sz w:val="22"/>
          <w:szCs w:val="22"/>
        </w:rPr>
        <w:t>一个对我们的切身利益产生深远重大影响的变化已经真实地发生了，新推出的措施是什么？怎样影响市场？</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sz w:val="22"/>
          <w:szCs w:val="22"/>
        </w:rPr>
      </w:pPr>
      <w:r>
        <w:rPr>
          <w:rFonts w:ascii="楷体" w:hAnsi="楷体" w:eastAsia="楷体" w:cs="楷体"/>
          <w:sz w:val="22"/>
          <w:szCs w:val="22"/>
        </w:rPr>
        <w:t>如果我们现在迷茫不知，那么相当于是盲人骑瞎马。于是，提前对中国股市多年来周期性崩溃的原因，以及价值投资者不能实现财富兑现的深层次原因的准确把握，是预测接下来一系列深远影响的改革措施的前提。这就是我们这次写下长达数万字的追问中国资本市场为什么长期危机重重为核心内容的季度报告。</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sz w:val="22"/>
          <w:szCs w:val="22"/>
        </w:rPr>
      </w:pPr>
      <w:r>
        <w:rPr>
          <w:rFonts w:ascii="楷体" w:hAnsi="楷体" w:eastAsia="楷体" w:cs="楷体"/>
          <w:sz w:val="22"/>
          <w:szCs w:val="22"/>
        </w:rPr>
        <w:t>由于中国股市已经成为中国经济发展的突破口和几乎唯一的发动机，所以它一定要消除长期以来存在的问题。我们团队认为，中国股市长期的问题就是主流机构的盈利模式根本不顺应价值规律，而且是内在的必然违反价值规律。主流公募机构的盈利模式是收割别人的，它就不需要践行价值规律。不践行价值规律的市场一定是危机重重。于是，要想让中国股市走向健康，就必须推动主流资金的盈利模式回归价值投资，顺应价值规律。这是中国改革必须遵循的原则和铁律，不可能违反。这是由永恒的规律设定的解决中国股市深层次问题的根本方向和路径。从而在这种情况下，使中国股市走向健康的一系列改革措施，其实同时也是使真正的价值投资者获得本来早就应该发生的估值修复和兑现的推动力量。这就是我们团队写这份报告的原因。</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color w:val="000000" w:themeColor="text1"/>
          <w:sz w:val="22"/>
          <w:szCs w:val="22"/>
          <w14:textFill>
            <w14:solidFill>
              <w14:schemeClr w14:val="tx1"/>
            </w14:solidFill>
          </w14:textFill>
        </w:rPr>
      </w:pPr>
      <w:r>
        <w:rPr>
          <w:rFonts w:ascii="楷体" w:hAnsi="楷体" w:eastAsia="楷体" w:cs="楷体"/>
          <w:sz w:val="22"/>
          <w:szCs w:val="22"/>
        </w:rPr>
        <w:t>我们其实是非常清楚的，市场就是不践行价值规律，所以危机重重。市场要想健康，必须回归价值规律，主流资金必须以价值规律为基本的盈利模式。但是这个过程的演进，它是有一定的不确定性，也有一定的复杂性的。政策什么时候推出，推出的政策有没有效，是不是恰到好处？因此对这些细节，我们要做个规划。某种程度上，我们管理团队是想假设自己写一篇前瞻性的体系化纲要和一个白皮书。</w:t>
      </w:r>
      <w:r>
        <w:rPr>
          <w:rFonts w:ascii="楷体" w:hAnsi="楷体" w:eastAsia="楷体" w:cs="楷体"/>
          <w:color w:val="000000" w:themeColor="text1"/>
          <w:sz w:val="22"/>
          <w:szCs w:val="22"/>
          <w14:textFill>
            <w14:solidFill>
              <w14:schemeClr w14:val="tx1"/>
            </w14:solidFill>
          </w14:textFill>
        </w:rPr>
        <w:t>文章内容整体上是阐述的抽象的深层次问题，性质上很像是理论物理，而不像是一个应用技术，大家读的时候可能感觉不能解决当下面临的具体现象性问题，这种感觉应该是对的，因为我在行文的时候，一开始就是把它设定为性质上是理论物理，而不是应用技术，我想通过深刻的更高屋建瓴的视角思考深刻的问题起到会当凌绝顶一览众山小的作用，只要我们能够从根本上看清看透，其实很多具体问题就豁然开朗了。</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ascii="楷体" w:hAnsi="楷体" w:eastAsia="楷体" w:cs="楷体"/>
          <w:sz w:val="22"/>
          <w:szCs w:val="22"/>
        </w:rPr>
      </w:pPr>
      <w:r>
        <w:rPr>
          <w:rFonts w:ascii="楷体" w:hAnsi="楷体" w:eastAsia="楷体" w:cs="楷体"/>
          <w:sz w:val="22"/>
          <w:szCs w:val="22"/>
        </w:rPr>
        <w:t>我们认为，中国金融职能部门要想推动健康的市场，必须尊重规律。在这个前提约束下，其政策有可预期性。所以我们来提前构思一个体系，预测可能接下来发生的一系列政策及政策的影响。假如在接下来的时间段，我们预期的那些政策陆陆续续出现了，说明我们整个体系是对的。这样我们相当于是参透了未来。如果发现跟我们的预期不相符，说明我们的底层模式是有问题的，我们会修改。也就是说，自己的思想</w:t>
      </w:r>
      <w:r>
        <w:rPr>
          <w:rFonts w:hint="eastAsia" w:ascii="楷体" w:hAnsi="楷体" w:eastAsia="楷体" w:cs="楷体"/>
          <w:sz w:val="22"/>
          <w:szCs w:val="22"/>
          <w:highlight w:val="none"/>
          <w:lang w:eastAsia="zh"/>
        </w:rPr>
        <w:t>要</w:t>
      </w:r>
      <w:r>
        <w:rPr>
          <w:rFonts w:ascii="楷体" w:hAnsi="楷体" w:eastAsia="楷体" w:cs="楷体"/>
          <w:sz w:val="22"/>
          <w:szCs w:val="22"/>
        </w:rPr>
        <w:t>走在变化之前，再结合将要出现的变化不断完善自己的思想体系。这是我们团队</w:t>
      </w:r>
      <w:r>
        <w:rPr>
          <w:rFonts w:hint="eastAsia" w:ascii="楷体" w:hAnsi="楷体" w:eastAsia="楷体" w:cs="楷体"/>
          <w:sz w:val="22"/>
          <w:szCs w:val="22"/>
          <w:lang w:eastAsia="zh-CN"/>
        </w:rPr>
        <w:t>必须</w:t>
      </w:r>
      <w:r>
        <w:rPr>
          <w:rFonts w:ascii="楷体" w:hAnsi="楷体" w:eastAsia="楷体" w:cs="楷体"/>
          <w:sz w:val="22"/>
          <w:szCs w:val="22"/>
        </w:rPr>
        <w:t>做的工作。</w:t>
      </w:r>
    </w:p>
    <w:p>
      <w:pPr>
        <w:keepNext w:val="0"/>
        <w:keepLines w:val="0"/>
        <w:widowControl w:val="0"/>
        <w:suppressLineNumbers w:val="0"/>
        <w:autoSpaceDE w:val="0"/>
        <w:autoSpaceDN/>
        <w:snapToGrid w:val="0"/>
        <w:spacing w:before="0" w:beforeLines="100" w:beforeAutospacing="0" w:after="0" w:afterLines="100" w:afterAutospacing="0" w:line="500" w:lineRule="exact"/>
        <w:ind w:left="0" w:leftChars="0" w:right="0" w:firstLine="0" w:firstLineChars="0"/>
        <w:jc w:val="center"/>
        <w:rPr>
          <w:rFonts w:hint="eastAsia" w:ascii="楷体" w:hAnsi="楷体" w:eastAsia="楷体" w:cs="楷体"/>
          <w:b/>
          <w:bCs/>
          <w:snapToGrid/>
          <w:color w:val="333333"/>
          <w:kern w:val="2"/>
          <w:sz w:val="48"/>
          <w:szCs w:val="48"/>
          <w:lang w:val="en-US" w:eastAsia="zh-CN" w:bidi="ar"/>
        </w:rPr>
      </w:pPr>
      <w:bookmarkStart w:id="0" w:name="_Toc17284"/>
    </w:p>
    <w:p>
      <w:pPr>
        <w:keepNext w:val="0"/>
        <w:keepLines w:val="0"/>
        <w:widowControl w:val="0"/>
        <w:suppressLineNumbers w:val="0"/>
        <w:autoSpaceDE w:val="0"/>
        <w:autoSpaceDN/>
        <w:snapToGrid w:val="0"/>
        <w:spacing w:before="0" w:beforeLines="100" w:beforeAutospacing="0" w:after="0" w:afterLines="100" w:afterAutospacing="0" w:line="500" w:lineRule="exact"/>
        <w:ind w:left="0" w:leftChars="0" w:right="0" w:firstLine="964" w:firstLineChars="200"/>
        <w:jc w:val="center"/>
        <w:rPr>
          <w:rFonts w:hint="default" w:ascii="楷体" w:hAnsi="楷体" w:eastAsia="楷体" w:cs="楷体"/>
          <w:b/>
          <w:bCs/>
          <w:color w:val="000000"/>
          <w:kern w:val="2"/>
          <w:sz w:val="48"/>
          <w:szCs w:val="48"/>
        </w:rPr>
      </w:pPr>
      <w:r>
        <w:rPr>
          <w:rFonts w:hint="default" w:ascii="楷体" w:hAnsi="楷体" w:eastAsia="楷体" w:cs="楷体"/>
          <w:b/>
          <w:bCs/>
          <w:snapToGrid/>
          <w:color w:val="333333"/>
          <w:kern w:val="2"/>
          <w:sz w:val="48"/>
          <w:szCs w:val="48"/>
          <w:lang w:val="en-US" w:eastAsia="zh-CN" w:bidi="ar"/>
        </w:rPr>
        <w:t>中国股市困局根本原因和出路（上）</w:t>
      </w:r>
    </w:p>
    <w:p>
      <w:pPr>
        <w:pStyle w:val="2"/>
        <w:keepNext/>
        <w:keepLines/>
        <w:pageBreakBefore w:val="0"/>
        <w:widowControl w:val="0"/>
        <w:kinsoku/>
        <w:wordWrap/>
        <w:overflowPunct/>
        <w:topLinePunct w:val="0"/>
        <w:autoSpaceDE/>
        <w:autoSpaceDN/>
        <w:bidi w:val="0"/>
        <w:adjustRightInd w:val="0"/>
        <w:snapToGrid w:val="0"/>
        <w:spacing w:before="0" w:beforeLines="150" w:after="0" w:afterLines="150" w:line="500" w:lineRule="exact"/>
        <w:ind w:firstLine="640" w:firstLineChars="200"/>
        <w:textAlignment w:val="auto"/>
        <w:rPr>
          <w:sz w:val="32"/>
          <w:szCs w:val="32"/>
        </w:rPr>
      </w:pPr>
      <w:r>
        <w:rPr>
          <w:sz w:val="32"/>
          <w:szCs w:val="32"/>
        </w:rPr>
        <w:t>一、中央高层搞活股市的战略规划在资本市场不能被落实</w:t>
      </w:r>
      <w:bookmarkEnd w:id="0"/>
    </w:p>
    <w:p>
      <w:pPr>
        <w:adjustRightInd w:val="0"/>
        <w:spacing w:line="360" w:lineRule="auto"/>
        <w:ind w:firstLine="480" w:firstLineChars="200"/>
        <w:rPr>
          <w:rFonts w:ascii="楷体" w:hAnsi="楷体" w:eastAsia="楷体" w:cs="楷体"/>
          <w:b/>
          <w:bCs/>
          <w:sz w:val="24"/>
          <w:szCs w:val="24"/>
        </w:rPr>
      </w:pPr>
      <w:r>
        <w:rPr>
          <w:rFonts w:hint="eastAsia" w:ascii="楷体" w:hAnsi="楷体" w:eastAsia="楷体" w:cs="楷体"/>
          <w:sz w:val="24"/>
          <w:szCs w:val="24"/>
        </w:rPr>
        <w:t>2022年11月监管层提出“中特估”。官方认为与中国经济体制相关的大型支柱企业公司估值不合理，与中国经济体制相关的公司不合理的估值需要进行纠正，以使其恢复到合理水平！</w:t>
      </w:r>
    </w:p>
    <w:p>
      <w:pPr>
        <w:adjustRightInd w:val="0"/>
        <w:spacing w:line="360" w:lineRule="auto"/>
        <w:ind w:firstLine="480" w:firstLineChars="200"/>
        <w:rPr>
          <w:rFonts w:ascii="楷体" w:hAnsi="楷体" w:eastAsia="楷体" w:cs="楷体"/>
          <w:color w:val="0000FF"/>
          <w:sz w:val="24"/>
          <w:szCs w:val="24"/>
        </w:rPr>
      </w:pPr>
      <w:r>
        <w:rPr>
          <w:rFonts w:hint="eastAsia" w:ascii="楷体" w:hAnsi="楷体" w:eastAsia="楷体" w:cs="楷体"/>
          <w:sz w:val="24"/>
          <w:szCs w:val="24"/>
        </w:rPr>
        <w:t>2023年7月24日中央政治局文件，以通俗易懂的文章直言不讳公开向全社会表达，中国中央政府深切地渴望搞活股市！中国最高决策层希望尽快实现搞活股市的目标！</w:t>
      </w:r>
      <w:r>
        <w:rPr>
          <w:rFonts w:hint="eastAsia" w:ascii="楷体" w:hAnsi="楷体" w:eastAsia="楷体" w:cs="楷体"/>
          <w:color w:val="0000FF"/>
          <w:sz w:val="24"/>
          <w:szCs w:val="24"/>
        </w:rPr>
        <w:t>（请读者参看7月24日中央政治局文件）</w:t>
      </w:r>
    </w:p>
    <w:p>
      <w:pPr>
        <w:adjustRightInd w:val="0"/>
        <w:spacing w:line="360" w:lineRule="auto"/>
        <w:ind w:firstLine="482" w:firstLineChars="200"/>
        <w:rPr>
          <w:rFonts w:ascii="楷体" w:hAnsi="楷体" w:eastAsia="楷体" w:cs="楷体"/>
          <w:sz w:val="24"/>
          <w:szCs w:val="24"/>
        </w:rPr>
      </w:pPr>
      <w:r>
        <w:rPr>
          <w:rFonts w:hint="eastAsia" w:ascii="楷体" w:hAnsi="楷体" w:eastAsia="楷体" w:cs="楷体"/>
          <w:b/>
          <w:bCs/>
          <w:sz w:val="24"/>
          <w:szCs w:val="24"/>
        </w:rPr>
        <w:t>监管层推出史无前例的</w:t>
      </w:r>
      <w:r>
        <w:rPr>
          <w:rFonts w:hint="eastAsia" w:ascii="楷体" w:hAnsi="楷体" w:eastAsia="楷体" w:cs="楷体"/>
          <w:b/>
          <w:bCs/>
          <w:sz w:val="24"/>
          <w:szCs w:val="24"/>
          <w:lang w:eastAsia="zh-CN"/>
        </w:rPr>
        <w:t>利好</w:t>
      </w:r>
      <w:r>
        <w:rPr>
          <w:rFonts w:hint="eastAsia" w:ascii="楷体" w:hAnsi="楷体" w:eastAsia="楷体" w:cs="楷体"/>
          <w:b/>
          <w:bCs/>
          <w:sz w:val="24"/>
          <w:szCs w:val="24"/>
        </w:rPr>
        <w:t>政策，</w:t>
      </w:r>
      <w:r>
        <w:rPr>
          <w:rFonts w:hint="eastAsia" w:ascii="楷体" w:hAnsi="楷体" w:eastAsia="楷体" w:cs="楷体"/>
          <w:sz w:val="24"/>
          <w:szCs w:val="24"/>
        </w:rPr>
        <w:t>无论在数量还是在质量上都是史无前例的！但</w:t>
      </w:r>
      <w:r>
        <w:rPr>
          <w:rFonts w:hint="eastAsia" w:ascii="楷体" w:hAnsi="楷体" w:eastAsia="楷体" w:cs="楷体"/>
          <w:b/>
          <w:bCs/>
          <w:sz w:val="24"/>
          <w:szCs w:val="24"/>
        </w:rPr>
        <w:t>市场对最高决策层决策、号召以及一系列利多毫无响应！</w:t>
      </w:r>
      <w:r>
        <w:rPr>
          <w:rFonts w:hint="eastAsia" w:ascii="楷体" w:hAnsi="楷体" w:eastAsia="楷体" w:cs="楷体"/>
          <w:sz w:val="24"/>
          <w:szCs w:val="24"/>
        </w:rPr>
        <w:t>中国资本市场完全没有响应政府的号召！市场不仅没有搞活，而且向着相反方向滑落！最后竟然在2023年底发生了罕见的价格</w:t>
      </w:r>
      <w:r>
        <w:rPr>
          <w:rFonts w:hint="eastAsia" w:ascii="楷体" w:hAnsi="楷体" w:eastAsia="楷体" w:cs="楷体"/>
          <w:sz w:val="24"/>
          <w:szCs w:val="24"/>
          <w:lang w:eastAsia="zh-CN"/>
        </w:rPr>
        <w:t>急速</w:t>
      </w:r>
      <w:r>
        <w:rPr>
          <w:rFonts w:hint="eastAsia" w:ascii="楷体" w:hAnsi="楷体" w:eastAsia="楷体" w:cs="楷体"/>
          <w:sz w:val="24"/>
          <w:szCs w:val="24"/>
        </w:rPr>
        <w:t>下跌</w:t>
      </w:r>
      <w:r>
        <w:rPr>
          <w:rFonts w:hint="eastAsia" w:ascii="楷体" w:hAnsi="楷体" w:eastAsia="楷体" w:cs="楷体"/>
          <w:sz w:val="24"/>
          <w:szCs w:val="24"/>
          <w:lang w:eastAsia="zh-CN"/>
        </w:rPr>
        <w:t>，</w:t>
      </w:r>
      <w:r>
        <w:rPr>
          <w:rFonts w:hint="eastAsia" w:ascii="楷体" w:hAnsi="楷体" w:eastAsia="楷体" w:cs="楷体"/>
          <w:sz w:val="24"/>
          <w:szCs w:val="24"/>
        </w:rPr>
        <w:t>制造了全面恐慌和全面崩溃。</w:t>
      </w:r>
    </w:p>
    <w:p>
      <w:pPr>
        <w:keepNext w:val="0"/>
        <w:keepLines w:val="0"/>
        <w:pageBreakBefore w:val="0"/>
        <w:widowControl/>
        <w:shd w:val="clear" w:color="auto" w:fill="FFFFFF"/>
        <w:kinsoku/>
        <w:wordWrap/>
        <w:overflowPunct/>
        <w:topLinePunct w:val="0"/>
        <w:autoSpaceDE/>
        <w:autoSpaceDN/>
        <w:bidi w:val="0"/>
        <w:adjustRightInd w:val="0"/>
        <w:snapToGrid/>
        <w:spacing w:after="0" w:afterLines="50" w:line="240" w:lineRule="auto"/>
        <w:ind w:firstLine="0" w:firstLineChars="0"/>
        <w:jc w:val="both"/>
        <w:textAlignment w:val="auto"/>
        <w:rPr>
          <w:rFonts w:ascii="楷体" w:hAnsi="楷体" w:eastAsia="楷体" w:cs="楷体"/>
          <w:sz w:val="28"/>
          <w:szCs w:val="36"/>
        </w:rPr>
      </w:pPr>
      <w:r>
        <w:drawing>
          <wp:inline distT="0" distB="0" distL="114300" distR="114300">
            <wp:extent cx="5725795" cy="2948940"/>
            <wp:effectExtent l="0" t="0" r="4445" b="762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8"/>
                    <a:stretch>
                      <a:fillRect/>
                    </a:stretch>
                  </pic:blipFill>
                  <pic:spPr>
                    <a:xfrm>
                      <a:off x="0" y="0"/>
                      <a:ext cx="5725795" cy="2948940"/>
                    </a:xfrm>
                    <a:prstGeom prst="rect">
                      <a:avLst/>
                    </a:prstGeom>
                    <a:noFill/>
                    <a:ln>
                      <a:noFill/>
                    </a:ln>
                  </pic:spPr>
                </pic:pic>
              </a:graphicData>
            </a:graphic>
          </wp:inline>
        </w:drawing>
      </w:r>
    </w:p>
    <w:p>
      <w:pPr>
        <w:adjustRightInd w:val="0"/>
        <w:spacing w:line="360" w:lineRule="auto"/>
        <w:ind w:firstLine="480" w:firstLineChars="200"/>
        <w:rPr>
          <w:rFonts w:ascii="楷体" w:hAnsi="楷体" w:eastAsia="楷体" w:cs="楷体"/>
          <w:b/>
          <w:bCs/>
          <w:sz w:val="24"/>
          <w:szCs w:val="24"/>
        </w:rPr>
      </w:pPr>
      <w:r>
        <w:rPr>
          <w:rFonts w:hint="eastAsia" w:ascii="楷体" w:hAnsi="楷体" w:eastAsia="楷体" w:cs="楷体"/>
          <w:sz w:val="24"/>
          <w:szCs w:val="24"/>
        </w:rPr>
        <w:t>以上客观事实证明，中国资本市场有定价权的资金，包括总规模已经达到20万亿（权益类接近10万亿）各类有定价权的资金均不响应、不践行中国最高决策层级股市发展战略，不理会中国最高决策层基于中国社会经济发展所制定的股市发展战略。更直白</w:t>
      </w:r>
      <w:r>
        <w:rPr>
          <w:rFonts w:hint="eastAsia" w:ascii="楷体" w:hAnsi="楷体" w:eastAsia="楷体" w:cs="楷体"/>
          <w:sz w:val="24"/>
          <w:szCs w:val="24"/>
          <w:lang w:eastAsia="zh-CN"/>
        </w:rPr>
        <w:t>地</w:t>
      </w:r>
      <w:r>
        <w:rPr>
          <w:rFonts w:hint="eastAsia" w:ascii="楷体" w:hAnsi="楷体" w:eastAsia="楷体" w:cs="楷体"/>
          <w:sz w:val="24"/>
          <w:szCs w:val="24"/>
        </w:rPr>
        <w:t>说，中国资本市场上包括公募基金在内的主流资金及次主流资金，没有谁去落实践行中央提出的搞活股市发展战略。</w:t>
      </w:r>
      <w:r>
        <w:rPr>
          <w:rFonts w:hint="eastAsia" w:ascii="楷体" w:hAnsi="楷体" w:eastAsia="楷体" w:cs="楷体"/>
          <w:b/>
          <w:bCs/>
          <w:sz w:val="24"/>
          <w:szCs w:val="24"/>
        </w:rPr>
        <w:t>在中央最高层提出搞活股市提振信心的战略发布后，中国资本市场的主流资金让中国股市走向了持续单边下跌，以</w:t>
      </w:r>
      <w:r>
        <w:rPr>
          <w:rFonts w:hint="eastAsia" w:ascii="楷体" w:hAnsi="楷体" w:eastAsia="楷体" w:cs="楷体"/>
          <w:b/>
          <w:bCs/>
          <w:sz w:val="24"/>
          <w:szCs w:val="24"/>
          <w:lang w:val="en-US" w:eastAsia="zh-CN"/>
        </w:rPr>
        <w:t>至</w:t>
      </w:r>
      <w:r>
        <w:rPr>
          <w:rFonts w:hint="eastAsia" w:ascii="楷体" w:hAnsi="楷体" w:eastAsia="楷体" w:cs="楷体"/>
          <w:b/>
          <w:bCs/>
          <w:sz w:val="24"/>
          <w:szCs w:val="24"/>
        </w:rPr>
        <w:t>于在2024年春节前出现了严重的崩塌。</w:t>
      </w:r>
    </w:p>
    <w:p>
      <w:pPr>
        <w:adjustRightInd w:val="0"/>
        <w:spacing w:line="360" w:lineRule="auto"/>
        <w:ind w:firstLine="482" w:firstLineChars="200"/>
        <w:rPr>
          <w:rFonts w:ascii="楷体" w:hAnsi="楷体" w:eastAsia="楷体" w:cs="楷体"/>
          <w:b/>
          <w:bCs/>
          <w:sz w:val="24"/>
          <w:szCs w:val="24"/>
        </w:rPr>
      </w:pPr>
      <w:r>
        <w:rPr>
          <w:rFonts w:hint="eastAsia" w:ascii="楷体" w:hAnsi="楷体" w:eastAsia="楷体" w:cs="楷体"/>
          <w:b/>
          <w:bCs/>
          <w:sz w:val="24"/>
          <w:szCs w:val="24"/>
        </w:rPr>
        <w:t>中国最高决策层在2015年的时候就提出过通过搞活股市走出慢牛，然后创造消费进而通过消费能力的增加，促进经济发展的战略，下面是</w:t>
      </w:r>
      <w:r>
        <w:rPr>
          <w:rFonts w:hint="eastAsia" w:ascii="楷体" w:hAnsi="楷体" w:eastAsia="楷体" w:cs="楷体"/>
          <w:b/>
          <w:bCs/>
          <w:sz w:val="24"/>
          <w:szCs w:val="24"/>
          <w:highlight w:val="none"/>
          <w:lang w:eastAsia="zh"/>
        </w:rPr>
        <w:t>当年</w:t>
      </w:r>
      <w:r>
        <w:rPr>
          <w:rFonts w:hint="eastAsia" w:ascii="楷体" w:hAnsi="楷体" w:eastAsia="楷体" w:cs="楷体"/>
          <w:b/>
          <w:bCs/>
          <w:sz w:val="24"/>
          <w:szCs w:val="24"/>
        </w:rPr>
        <w:t>社评文章。</w:t>
      </w:r>
    </w:p>
    <w:p>
      <w:pPr>
        <w:adjustRightInd w:val="0"/>
        <w:spacing w:line="360" w:lineRule="auto"/>
        <w:ind w:firstLine="482" w:firstLineChars="200"/>
        <w:rPr>
          <w:color w:val="000000" w:themeColor="text1"/>
          <w14:textFill>
            <w14:solidFill>
              <w14:schemeClr w14:val="tx1"/>
            </w14:solidFill>
          </w14:textFill>
        </w:rPr>
      </w:pPr>
      <w:r>
        <w:rPr>
          <w:rFonts w:hint="eastAsia" w:ascii="楷体" w:hAnsi="楷体" w:eastAsia="楷体" w:cs="楷体"/>
          <w:b/>
          <w:bCs/>
          <w:sz w:val="24"/>
          <w:szCs w:val="24"/>
        </w:rPr>
        <w:t>中国经济网：中国经济需要一个慢牛长牛http://views.ce.cn/view/ent/201505/14/t20150514_5363532.shtml</w:t>
      </w:r>
    </w:p>
    <w:p>
      <w:pPr>
        <w:keepNext w:val="0"/>
        <w:keepLines w:val="0"/>
        <w:pageBreakBefore w:val="0"/>
        <w:widowControl/>
        <w:shd w:val="clear" w:color="auto" w:fill="FFFFFF"/>
        <w:kinsoku/>
        <w:wordWrap/>
        <w:overflowPunct/>
        <w:topLinePunct w:val="0"/>
        <w:autoSpaceDE/>
        <w:autoSpaceDN/>
        <w:bidi w:val="0"/>
        <w:adjustRightInd w:val="0"/>
        <w:snapToGrid/>
        <w:spacing w:after="0" w:afterLines="50" w:line="240" w:lineRule="auto"/>
        <w:ind w:firstLine="0" w:firstLineChars="0"/>
        <w:jc w:val="both"/>
        <w:textAlignment w:val="auto"/>
        <w:rPr>
          <w:rFonts w:hint="eastAsia" w:ascii="楷体" w:hAnsi="楷体" w:eastAsia="楷体" w:cs="楷体"/>
        </w:rPr>
      </w:pPr>
      <w:r>
        <w:drawing>
          <wp:inline distT="0" distB="0" distL="114300" distR="114300">
            <wp:extent cx="5728970" cy="3521710"/>
            <wp:effectExtent l="0" t="0" r="1270" b="1397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9"/>
                    <a:stretch>
                      <a:fillRect/>
                    </a:stretch>
                  </pic:blipFill>
                  <pic:spPr>
                    <a:xfrm>
                      <a:off x="0" y="0"/>
                      <a:ext cx="5728970" cy="3521710"/>
                    </a:xfrm>
                    <a:prstGeom prst="rect">
                      <a:avLst/>
                    </a:prstGeom>
                    <a:noFill/>
                    <a:ln>
                      <a:noFill/>
                    </a:ln>
                  </pic:spPr>
                </pic:pic>
              </a:graphicData>
            </a:graphic>
          </wp:inline>
        </w:drawing>
      </w:r>
    </w:p>
    <w:p>
      <w:pPr>
        <w:widowControl w:val="0"/>
        <w:adjustRightInd w:val="0"/>
        <w:snapToGrid w:val="0"/>
        <w:spacing w:line="360" w:lineRule="auto"/>
        <w:ind w:firstLine="480" w:firstLineChars="200"/>
        <w:rPr>
          <w:color w:val="000000" w:themeColor="text1"/>
          <w14:textFill>
            <w14:solidFill>
              <w14:schemeClr w14:val="tx1"/>
            </w14:solidFill>
          </w14:textFill>
        </w:rPr>
      </w:pPr>
      <w:r>
        <w:rPr>
          <w:rFonts w:hint="eastAsia" w:ascii="楷体" w:hAnsi="楷体" w:eastAsia="楷体" w:cs="楷体"/>
          <w:sz w:val="24"/>
          <w:szCs w:val="24"/>
        </w:rPr>
        <w:t xml:space="preserve">环球网发布财经观察：为何中国经济需要一轮牛市  </w:t>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"https://m.huanqiu.com/article/9CaKrnJKcl5" </w:instrText>
      </w:r>
      <w:r>
        <w:rPr>
          <w:rFonts w:hint="eastAsia" w:ascii="楷体" w:hAnsi="楷体" w:eastAsia="楷体" w:cs="楷体"/>
          <w:sz w:val="24"/>
          <w:szCs w:val="24"/>
        </w:rPr>
        <w:fldChar w:fldCharType="separate"/>
      </w:r>
      <w:r>
        <w:rPr>
          <w:rStyle w:val="17"/>
          <w:rFonts w:hint="eastAsia" w:ascii="楷体" w:hAnsi="楷体" w:eastAsia="楷体" w:cs="楷体"/>
          <w:sz w:val="24"/>
          <w:szCs w:val="24"/>
        </w:rPr>
        <w:t>https://m.huanqiu.com/article/9CaKrnJKcl5</w:t>
      </w:r>
      <w:r>
        <w:rPr>
          <w:rFonts w:hint="eastAsia" w:ascii="楷体" w:hAnsi="楷体" w:eastAsia="楷体" w:cs="楷体"/>
          <w:sz w:val="24"/>
          <w:szCs w:val="24"/>
        </w:rPr>
        <w:fldChar w:fldCharType="end"/>
      </w:r>
    </w:p>
    <w:p>
      <w:pPr>
        <w:pStyle w:val="6"/>
        <w:keepNext w:val="0"/>
        <w:keepLines w:val="0"/>
        <w:pageBreakBefore w:val="0"/>
        <w:widowControl/>
        <w:kinsoku/>
        <w:wordWrap/>
        <w:overflowPunct/>
        <w:topLinePunct w:val="0"/>
        <w:autoSpaceDE/>
        <w:autoSpaceDN/>
        <w:bidi w:val="0"/>
        <w:adjustRightInd w:val="0"/>
        <w:snapToGrid/>
        <w:spacing w:before="0" w:beforeLines="50" w:line="240" w:lineRule="auto"/>
        <w:jc w:val="center"/>
        <w:textAlignment w:val="auto"/>
        <w:rPr>
          <w:color w:val="000000" w:themeColor="text1"/>
          <w14:textFill>
            <w14:solidFill>
              <w14:schemeClr w14:val="tx1"/>
            </w14:solidFill>
          </w14:textFill>
        </w:rPr>
      </w:pPr>
      <w:r>
        <w:drawing>
          <wp:inline distT="0" distB="0" distL="114300" distR="114300">
            <wp:extent cx="5135880" cy="4031615"/>
            <wp:effectExtent l="0" t="0" r="0" b="698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0"/>
                    <a:stretch>
                      <a:fillRect/>
                    </a:stretch>
                  </pic:blipFill>
                  <pic:spPr>
                    <a:xfrm>
                      <a:off x="0" y="0"/>
                      <a:ext cx="5135880" cy="4031615"/>
                    </a:xfrm>
                    <a:prstGeom prst="rect">
                      <a:avLst/>
                    </a:prstGeom>
                    <a:noFill/>
                    <a:ln>
                      <a:noFill/>
                    </a:ln>
                  </pic:spPr>
                </pic:pic>
              </a:graphicData>
            </a:graphic>
          </wp:inline>
        </w:drawing>
      </w:r>
    </w:p>
    <w:p>
      <w:pPr>
        <w:adjustRightInd w:val="0"/>
        <w:spacing w:line="360" w:lineRule="auto"/>
        <w:ind w:firstLine="482" w:firstLineChars="200"/>
        <w:rPr>
          <w:rFonts w:ascii="楷体" w:hAnsi="楷体" w:eastAsia="楷体" w:cs="楷体"/>
          <w:b/>
          <w:bCs/>
          <w:sz w:val="24"/>
          <w:szCs w:val="24"/>
        </w:rPr>
      </w:pPr>
      <w:r>
        <w:rPr>
          <w:rFonts w:hint="eastAsia" w:ascii="楷体" w:hAnsi="楷体" w:eastAsia="楷体" w:cs="楷体"/>
          <w:b/>
          <w:bCs/>
          <w:sz w:val="24"/>
          <w:szCs w:val="24"/>
        </w:rPr>
        <w:t>然而中国股市在2015年上半年走出了4个月的疯牛狂牛，最后</w:t>
      </w:r>
      <w:r>
        <w:rPr>
          <w:rFonts w:hint="eastAsia" w:ascii="楷体" w:hAnsi="楷体" w:eastAsia="楷体" w:cs="楷体"/>
          <w:b/>
          <w:bCs/>
          <w:sz w:val="24"/>
          <w:szCs w:val="24"/>
          <w:highlight w:val="none"/>
        </w:rPr>
        <w:t>就</w:t>
      </w:r>
      <w:r>
        <w:rPr>
          <w:rFonts w:hint="eastAsia" w:ascii="楷体" w:hAnsi="楷体" w:eastAsia="楷体" w:cs="楷体"/>
          <w:b/>
          <w:bCs/>
          <w:strike w:val="0"/>
          <w:dstrike w:val="0"/>
          <w:sz w:val="24"/>
          <w:szCs w:val="24"/>
          <w:highlight w:val="none"/>
          <w:lang w:eastAsia="zh"/>
        </w:rPr>
        <w:t>以</w:t>
      </w:r>
      <w:r>
        <w:rPr>
          <w:rFonts w:hint="eastAsia" w:ascii="楷体" w:hAnsi="楷体" w:eastAsia="楷体" w:cs="楷体"/>
          <w:b/>
          <w:bCs/>
          <w:sz w:val="24"/>
          <w:szCs w:val="24"/>
        </w:rPr>
        <w:t>全面崩溃而告终。以股市的慢牛长牛创造财富</w:t>
      </w:r>
      <w:r>
        <w:rPr>
          <w:rFonts w:hint="eastAsia" w:ascii="楷体" w:hAnsi="楷体" w:eastAsia="楷体" w:cs="楷体"/>
          <w:b/>
          <w:bCs/>
          <w:sz w:val="24"/>
          <w:szCs w:val="24"/>
          <w:highlight w:val="none"/>
          <w:lang w:eastAsia="zh"/>
        </w:rPr>
        <w:t>来</w:t>
      </w:r>
      <w:r>
        <w:rPr>
          <w:rFonts w:hint="eastAsia" w:ascii="楷体" w:hAnsi="楷体" w:eastAsia="楷体" w:cs="楷体"/>
          <w:b/>
          <w:bCs/>
          <w:sz w:val="24"/>
          <w:szCs w:val="24"/>
        </w:rPr>
        <w:t>增加消费</w:t>
      </w:r>
      <w:r>
        <w:rPr>
          <w:rFonts w:hint="eastAsia" w:ascii="楷体" w:hAnsi="楷体" w:eastAsia="楷体" w:cs="楷体"/>
          <w:b/>
          <w:bCs/>
          <w:sz w:val="24"/>
          <w:szCs w:val="24"/>
          <w:highlight w:val="none"/>
          <w:lang w:eastAsia="zh"/>
        </w:rPr>
        <w:t>、</w:t>
      </w:r>
      <w:r>
        <w:rPr>
          <w:rFonts w:hint="eastAsia" w:ascii="楷体" w:hAnsi="楷体" w:eastAsia="楷体" w:cs="楷体"/>
          <w:b/>
          <w:bCs/>
          <w:sz w:val="24"/>
          <w:szCs w:val="24"/>
        </w:rPr>
        <w:t>拉动经济的国家战略，在10年前仅运行了几个月就失败了。</w:t>
      </w:r>
    </w:p>
    <w:p>
      <w:pPr>
        <w:adjustRightInd w:val="0"/>
        <w:spacing w:line="360" w:lineRule="auto"/>
        <w:ind w:firstLine="482" w:firstLineChars="200"/>
        <w:rPr>
          <w:rFonts w:hint="eastAsia" w:ascii="楷体" w:hAnsi="楷体" w:eastAsia="楷体" w:cs="楷体"/>
          <w:b/>
          <w:bCs/>
          <w:sz w:val="24"/>
          <w:szCs w:val="24"/>
        </w:rPr>
      </w:pPr>
      <w:r>
        <w:rPr>
          <w:rFonts w:hint="eastAsia" w:ascii="楷体" w:hAnsi="楷体" w:eastAsia="楷体" w:cs="楷体"/>
          <w:b/>
          <w:bCs/>
          <w:sz w:val="24"/>
          <w:szCs w:val="24"/>
        </w:rPr>
        <w:t>由此我们发现</w:t>
      </w:r>
      <w:r>
        <w:rPr>
          <w:rFonts w:hint="eastAsia" w:ascii="楷体" w:hAnsi="楷体" w:eastAsia="楷体" w:cs="楷体"/>
          <w:b/>
          <w:bCs/>
          <w:sz w:val="24"/>
          <w:szCs w:val="24"/>
          <w:highlight w:val="none"/>
          <w:lang w:eastAsia="zh"/>
        </w:rPr>
        <w:t>，</w:t>
      </w:r>
      <w:r>
        <w:rPr>
          <w:rFonts w:hint="eastAsia" w:ascii="楷体" w:hAnsi="楷体" w:eastAsia="楷体" w:cs="楷体"/>
          <w:b/>
          <w:bCs/>
          <w:sz w:val="24"/>
          <w:szCs w:val="24"/>
        </w:rPr>
        <w:t>中国以股市拉动经济的发展战略两次提出</w:t>
      </w:r>
      <w:r>
        <w:rPr>
          <w:rFonts w:hint="eastAsia" w:ascii="楷体" w:hAnsi="楷体" w:eastAsia="楷体" w:cs="楷体"/>
          <w:b/>
          <w:bCs/>
          <w:sz w:val="24"/>
          <w:szCs w:val="24"/>
          <w:lang w:eastAsia="zh-CN"/>
        </w:rPr>
        <w:t>，</w:t>
      </w:r>
      <w:r>
        <w:rPr>
          <w:rFonts w:hint="eastAsia" w:ascii="楷体" w:hAnsi="楷体" w:eastAsia="楷体" w:cs="楷体"/>
          <w:b/>
          <w:bCs/>
          <w:sz w:val="24"/>
          <w:szCs w:val="24"/>
        </w:rPr>
        <w:t>两次推动都</w:t>
      </w:r>
      <w:r>
        <w:rPr>
          <w:rFonts w:hint="eastAsia" w:ascii="楷体" w:hAnsi="楷体" w:eastAsia="楷体" w:cs="楷体"/>
          <w:b/>
          <w:bCs/>
          <w:sz w:val="24"/>
          <w:szCs w:val="24"/>
          <w:highlight w:val="none"/>
          <w:lang w:eastAsia="zh"/>
        </w:rPr>
        <w:t>未</w:t>
      </w:r>
      <w:r>
        <w:rPr>
          <w:rFonts w:hint="eastAsia" w:ascii="楷体" w:hAnsi="楷体" w:eastAsia="楷体" w:cs="楷体"/>
          <w:b/>
          <w:bCs/>
          <w:sz w:val="24"/>
          <w:szCs w:val="24"/>
        </w:rPr>
        <w:t>能成功，</w:t>
      </w:r>
      <w:r>
        <w:rPr>
          <w:rFonts w:hint="eastAsia" w:ascii="楷体" w:hAnsi="楷体" w:eastAsia="楷体" w:cs="楷体"/>
          <w:b/>
          <w:bCs/>
          <w:sz w:val="24"/>
          <w:szCs w:val="24"/>
          <w:lang w:eastAsia="zh-CN"/>
        </w:rPr>
        <w:t>而其他</w:t>
      </w:r>
      <w:r>
        <w:rPr>
          <w:rFonts w:hint="eastAsia" w:ascii="楷体" w:hAnsi="楷体" w:eastAsia="楷体" w:cs="楷体"/>
          <w:b/>
          <w:bCs/>
          <w:sz w:val="24"/>
          <w:szCs w:val="24"/>
        </w:rPr>
        <w:t>国家</w:t>
      </w:r>
      <w:r>
        <w:rPr>
          <w:rFonts w:hint="eastAsia" w:ascii="楷体" w:hAnsi="楷体" w:eastAsia="楷体" w:cs="楷体"/>
          <w:b/>
          <w:bCs/>
          <w:sz w:val="24"/>
          <w:szCs w:val="24"/>
          <w:lang w:eastAsia="zh"/>
        </w:rPr>
        <w:t>，</w:t>
      </w:r>
      <w:r>
        <w:rPr>
          <w:rFonts w:hint="eastAsia" w:ascii="楷体" w:hAnsi="楷体" w:eastAsia="楷体" w:cs="楷体"/>
          <w:b/>
          <w:bCs/>
          <w:sz w:val="24"/>
          <w:szCs w:val="24"/>
        </w:rPr>
        <w:t>无论是美国、印度、欧洲股市乃至日本的股市都成功</w:t>
      </w:r>
      <w:r>
        <w:rPr>
          <w:rFonts w:hint="eastAsia" w:ascii="楷体" w:hAnsi="楷体" w:eastAsia="楷体" w:cs="楷体"/>
          <w:b/>
          <w:bCs/>
          <w:sz w:val="24"/>
          <w:szCs w:val="24"/>
          <w:lang w:eastAsia="zh-CN"/>
        </w:rPr>
        <w:t>地</w:t>
      </w:r>
      <w:r>
        <w:rPr>
          <w:rFonts w:hint="eastAsia" w:ascii="楷体" w:hAnsi="楷体" w:eastAsia="楷体" w:cs="楷体"/>
          <w:b/>
          <w:bCs/>
          <w:sz w:val="24"/>
          <w:szCs w:val="24"/>
        </w:rPr>
        <w:t>用股市的缓慢上涨，创造长期牛市拉动了经济发展，只有中国要么出现疯狂的牛市而崩溃，要么压根不上涨</w:t>
      </w:r>
      <w:r>
        <w:rPr>
          <w:rFonts w:hint="eastAsia" w:ascii="楷体" w:hAnsi="楷体" w:eastAsia="楷体" w:cs="楷体"/>
          <w:b/>
          <w:bCs/>
          <w:sz w:val="24"/>
          <w:szCs w:val="24"/>
          <w:highlight w:val="none"/>
          <w:lang w:eastAsia="zh"/>
        </w:rPr>
        <w:t>而</w:t>
      </w:r>
      <w:r>
        <w:rPr>
          <w:rFonts w:hint="eastAsia" w:ascii="楷体" w:hAnsi="楷体" w:eastAsia="楷体" w:cs="楷体"/>
          <w:b/>
          <w:bCs/>
          <w:sz w:val="24"/>
          <w:szCs w:val="24"/>
        </w:rPr>
        <w:t>直截了当下跌。</w:t>
      </w:r>
    </w:p>
    <w:p>
      <w:pPr>
        <w:adjustRightInd w:val="0"/>
        <w:spacing w:line="360" w:lineRule="auto"/>
        <w:ind w:firstLine="482" w:firstLineChars="200"/>
        <w:rPr>
          <w:rFonts w:hint="eastAsia" w:ascii="楷体" w:hAnsi="楷体" w:eastAsia="楷体" w:cs="楷体"/>
          <w:b/>
          <w:bCs/>
          <w:sz w:val="24"/>
          <w:szCs w:val="24"/>
        </w:rPr>
      </w:pPr>
    </w:p>
    <w:p>
      <w:pPr>
        <w:pStyle w:val="2"/>
        <w:adjustRightInd w:val="0"/>
        <w:ind w:firstLine="720" w:firstLineChars="200"/>
      </w:pPr>
      <w:bookmarkStart w:id="1" w:name="_Toc52"/>
      <w:r>
        <w:rPr>
          <w:szCs w:val="30"/>
        </w:rPr>
        <w:t>二、中国股市周期性崩溃原因是市场出现了生态危机</w:t>
      </w:r>
      <w:bookmarkEnd w:id="1"/>
    </w:p>
    <w:p>
      <w:pPr>
        <w:adjustRightInd w:val="0"/>
        <w:spacing w:line="360" w:lineRule="auto"/>
        <w:ind w:firstLine="482" w:firstLineChars="200"/>
        <w:rPr>
          <w:rFonts w:ascii="楷体" w:hAnsi="楷体" w:eastAsia="楷体" w:cs="楷体"/>
          <w:b/>
          <w:bCs/>
          <w:sz w:val="24"/>
          <w:szCs w:val="24"/>
        </w:rPr>
      </w:pPr>
      <w:r>
        <w:rPr>
          <w:rFonts w:hint="eastAsia" w:ascii="楷体" w:hAnsi="楷体" w:eastAsia="楷体" w:cs="楷体"/>
          <w:b/>
          <w:bCs/>
          <w:sz w:val="24"/>
          <w:szCs w:val="24"/>
        </w:rPr>
        <w:t>问题：为什么中国最高决策层提出搞活股市</w:t>
      </w:r>
      <w:r>
        <w:rPr>
          <w:rFonts w:hint="eastAsia" w:ascii="楷体" w:hAnsi="楷体" w:eastAsia="楷体" w:cs="楷体"/>
          <w:b/>
          <w:bCs/>
          <w:sz w:val="24"/>
          <w:szCs w:val="24"/>
          <w:highlight w:val="none"/>
          <w:lang w:eastAsia="zh"/>
        </w:rPr>
        <w:t>的政策</w:t>
      </w:r>
      <w:r>
        <w:rPr>
          <w:rFonts w:hint="eastAsia" w:ascii="楷体" w:hAnsi="楷体" w:eastAsia="楷体" w:cs="楷体"/>
          <w:b/>
          <w:bCs/>
          <w:sz w:val="24"/>
          <w:szCs w:val="24"/>
        </w:rPr>
        <w:t>在中国股市没有资金响应</w:t>
      </w:r>
      <w:r>
        <w:rPr>
          <w:rFonts w:hint="eastAsia" w:ascii="楷体" w:hAnsi="楷体" w:eastAsia="楷体" w:cs="楷体"/>
          <w:b/>
          <w:bCs/>
          <w:sz w:val="24"/>
          <w:szCs w:val="24"/>
          <w:highlight w:val="none"/>
          <w:lang w:eastAsia="zh"/>
        </w:rPr>
        <w:t>？</w:t>
      </w:r>
      <w:r>
        <w:rPr>
          <w:rFonts w:hint="eastAsia" w:ascii="楷体" w:hAnsi="楷体" w:eastAsia="楷体" w:cs="楷体"/>
          <w:b/>
          <w:bCs/>
          <w:sz w:val="24"/>
          <w:szCs w:val="24"/>
        </w:rPr>
        <w:t>为什么不仅没有搞活，反而走向了全面</w:t>
      </w:r>
      <w:r>
        <w:rPr>
          <w:rFonts w:hint="eastAsia" w:ascii="楷体" w:hAnsi="楷体" w:eastAsia="楷体" w:cs="楷体"/>
          <w:b/>
          <w:bCs/>
          <w:sz w:val="24"/>
          <w:szCs w:val="24"/>
          <w:lang w:eastAsia="zh"/>
        </w:rPr>
        <w:t>地</w:t>
      </w:r>
      <w:r>
        <w:rPr>
          <w:rFonts w:hint="eastAsia" w:ascii="楷体" w:hAnsi="楷体" w:eastAsia="楷体" w:cs="楷体"/>
          <w:b/>
          <w:bCs/>
          <w:sz w:val="24"/>
          <w:szCs w:val="24"/>
        </w:rPr>
        <w:t>单边下跌和严重</w:t>
      </w:r>
      <w:r>
        <w:rPr>
          <w:rFonts w:hint="eastAsia" w:ascii="楷体" w:hAnsi="楷体" w:eastAsia="楷体" w:cs="楷体"/>
          <w:b/>
          <w:bCs/>
          <w:sz w:val="24"/>
          <w:szCs w:val="24"/>
          <w:lang w:eastAsia="zh"/>
        </w:rPr>
        <w:t>地</w:t>
      </w:r>
      <w:r>
        <w:rPr>
          <w:rFonts w:hint="eastAsia" w:ascii="楷体" w:hAnsi="楷体" w:eastAsia="楷体" w:cs="楷体"/>
          <w:b/>
          <w:bCs/>
          <w:sz w:val="24"/>
          <w:szCs w:val="24"/>
        </w:rPr>
        <w:t>崩塌？</w:t>
      </w:r>
    </w:p>
    <w:p>
      <w:pPr>
        <w:adjustRightIn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答案不外乎两点：</w:t>
      </w:r>
    </w:p>
    <w:p>
      <w:pPr>
        <w:adjustRightInd w:val="0"/>
        <w:spacing w:line="36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rPr>
        <w:t>（1）市场在当前不具有搞活和上涨的客观条件，没有低估值的板块支持上涨和搞活</w:t>
      </w:r>
      <w:r>
        <w:rPr>
          <w:rFonts w:hint="eastAsia" w:ascii="楷体" w:hAnsi="楷体" w:eastAsia="楷体" w:cs="楷体"/>
          <w:sz w:val="24"/>
          <w:szCs w:val="24"/>
          <w:lang w:eastAsia="zh"/>
        </w:rPr>
        <w:t>，</w:t>
      </w:r>
      <w:r>
        <w:rPr>
          <w:rFonts w:hint="eastAsia" w:ascii="楷体" w:hAnsi="楷体" w:eastAsia="楷体" w:cs="楷体"/>
          <w:sz w:val="24"/>
          <w:szCs w:val="24"/>
        </w:rPr>
        <w:t>所以资金没有办法配合。中国股市单边下跌以至于在2024年春节前走向了崩溃，是因为市场本身客观上就存在着下跌的内在逻辑</w:t>
      </w:r>
      <w:r>
        <w:rPr>
          <w:rFonts w:hint="eastAsia" w:ascii="楷体" w:hAnsi="楷体" w:eastAsia="楷体" w:cs="楷体"/>
          <w:sz w:val="24"/>
          <w:szCs w:val="24"/>
          <w:lang w:eastAsia="zh"/>
        </w:rPr>
        <w:t>，</w:t>
      </w:r>
      <w:r>
        <w:rPr>
          <w:rFonts w:hint="eastAsia" w:ascii="楷体" w:hAnsi="楷体" w:eastAsia="楷体" w:cs="楷体"/>
          <w:sz w:val="24"/>
          <w:szCs w:val="24"/>
        </w:rPr>
        <w:t>市场本身处于高估状态需要通过下跌消除高估。</w:t>
      </w:r>
    </w:p>
    <w:p>
      <w:pPr>
        <w:adjustRightInd w:val="0"/>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（2）中央高层所提出的搞活股市，提振信心</w:t>
      </w:r>
      <w:r>
        <w:rPr>
          <w:rFonts w:hint="eastAsia" w:ascii="楷体" w:hAnsi="楷体" w:eastAsia="楷体" w:cs="楷体"/>
          <w:sz w:val="24"/>
          <w:szCs w:val="24"/>
          <w:lang w:eastAsia="zh"/>
        </w:rPr>
        <w:t>的政策</w:t>
      </w:r>
      <w:r>
        <w:rPr>
          <w:rFonts w:hint="eastAsia" w:ascii="楷体" w:hAnsi="楷体" w:eastAsia="楷体" w:cs="楷体"/>
          <w:sz w:val="24"/>
          <w:szCs w:val="24"/>
        </w:rPr>
        <w:t>符合经济规律，符合中国股市现实状况，符合价值规律。中国股市内部存在着搞活的客观条件，也就是存在着大量的低估值板块，足以支持股价上涨</w:t>
      </w:r>
      <w:r>
        <w:rPr>
          <w:rFonts w:hint="eastAsia" w:ascii="楷体" w:hAnsi="楷体" w:eastAsia="楷体" w:cs="楷体"/>
          <w:sz w:val="24"/>
          <w:szCs w:val="24"/>
          <w:lang w:eastAsia="zh"/>
        </w:rPr>
        <w:t>、</w:t>
      </w:r>
      <w:r>
        <w:rPr>
          <w:rFonts w:hint="eastAsia" w:ascii="楷体" w:hAnsi="楷体" w:eastAsia="楷体" w:cs="楷体"/>
          <w:sz w:val="24"/>
          <w:szCs w:val="24"/>
        </w:rPr>
        <w:t>搞活股市！之所以没有搞活反而出现了单边下跌，是市场出现了严重的问题和错误，是市场失灵。</w:t>
      </w:r>
    </w:p>
    <w:p>
      <w:pPr>
        <w:adjustRightInd w:val="0"/>
        <w:spacing w:line="360" w:lineRule="auto"/>
        <w:ind w:firstLine="480" w:firstLineChars="200"/>
        <w:rPr>
          <w:rFonts w:hint="eastAsia" w:ascii="楷体" w:hAnsi="楷体" w:eastAsia="楷体" w:cs="楷体"/>
          <w:sz w:val="24"/>
          <w:szCs w:val="24"/>
        </w:rPr>
      </w:pPr>
    </w:p>
    <w:p>
      <w:pPr>
        <w:pStyle w:val="3"/>
        <w:keepNext/>
        <w:keepLines/>
        <w:pageBreakBefore w:val="0"/>
        <w:widowControl w:val="0"/>
        <w:kinsoku/>
        <w:wordWrap/>
        <w:overflowPunct/>
        <w:topLinePunct w:val="0"/>
        <w:autoSpaceDE/>
        <w:autoSpaceDN/>
        <w:bidi w:val="0"/>
        <w:adjustRightInd w:val="0"/>
        <w:snapToGrid w:val="0"/>
        <w:spacing w:line="360" w:lineRule="auto"/>
        <w:ind w:firstLine="640" w:firstLineChars="200"/>
        <w:textAlignment w:val="auto"/>
      </w:pPr>
      <w:bookmarkStart w:id="2" w:name="_Toc4430"/>
      <w:r>
        <w:t>（一）中国股市存在客观上涨的条件</w:t>
      </w:r>
      <w:bookmarkEnd w:id="2"/>
    </w:p>
    <w:p>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textAlignment w:val="auto"/>
        <w:rPr>
          <w:rFonts w:ascii="楷体" w:hAnsi="楷体" w:eastAsia="楷体" w:cs="楷体"/>
          <w:b/>
          <w:bCs/>
          <w:sz w:val="24"/>
          <w:szCs w:val="32"/>
        </w:rPr>
      </w:pPr>
      <w:r>
        <w:rPr>
          <w:rFonts w:hint="eastAsia" w:ascii="楷体" w:hAnsi="楷体" w:eastAsia="楷体" w:cs="楷体"/>
          <w:b/>
          <w:bCs/>
          <w:sz w:val="24"/>
          <w:szCs w:val="32"/>
        </w:rPr>
        <w:t>下图是沪深300指数历史市盈率</w:t>
      </w:r>
    </w:p>
    <w:p>
      <w:pPr>
        <w:keepNext w:val="0"/>
        <w:keepLines w:val="0"/>
        <w:pageBreakBefore w:val="0"/>
        <w:widowControl w:val="0"/>
        <w:kinsoku/>
        <w:wordWrap/>
        <w:overflowPunct/>
        <w:topLinePunct w:val="0"/>
        <w:autoSpaceDE/>
        <w:autoSpaceDN/>
        <w:bidi w:val="0"/>
        <w:adjustRightInd w:val="0"/>
        <w:snapToGrid w:val="0"/>
        <w:spacing w:before="0" w:after="0" w:afterLines="50" w:line="240" w:lineRule="auto"/>
        <w:ind w:firstLine="0" w:firstLineChars="0"/>
        <w:jc w:val="both"/>
        <w:textAlignment w:val="auto"/>
        <w:rPr>
          <w:rFonts w:ascii="楷体" w:hAnsi="楷体" w:eastAsia="楷体" w:cs="楷体"/>
          <w:b/>
          <w:bCs/>
          <w:color w:val="0000FF"/>
          <w:sz w:val="28"/>
          <w:szCs w:val="36"/>
        </w:rPr>
      </w:pPr>
      <w:r>
        <w:drawing>
          <wp:inline distT="0" distB="0" distL="114300" distR="114300">
            <wp:extent cx="5725160" cy="2279650"/>
            <wp:effectExtent l="0" t="0" r="5080" b="635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1"/>
                    <a:stretch>
                      <a:fillRect/>
                    </a:stretch>
                  </pic:blipFill>
                  <pic:spPr>
                    <a:xfrm>
                      <a:off x="0" y="0"/>
                      <a:ext cx="5725160" cy="2279650"/>
                    </a:xfrm>
                    <a:prstGeom prst="rect">
                      <a:avLst/>
                    </a:prstGeom>
                    <a:noFill/>
                    <a:ln>
                      <a:noFill/>
                    </a:ln>
                  </pic:spPr>
                </pic:pic>
              </a:graphicData>
            </a:graphic>
          </wp:inline>
        </w:drawing>
      </w:r>
    </w:p>
    <w:p>
      <w:pPr>
        <w:adjustRightInd w:val="0"/>
        <w:spacing w:line="360" w:lineRule="auto"/>
        <w:ind w:firstLine="480" w:firstLineChars="200"/>
        <w:rPr>
          <w:rFonts w:ascii="楷体" w:hAnsi="楷体" w:eastAsia="楷体" w:cs="楷体"/>
          <w:sz w:val="28"/>
          <w:szCs w:val="36"/>
        </w:rPr>
      </w:pPr>
      <w:r>
        <w:rPr>
          <w:rFonts w:hint="eastAsia" w:ascii="楷体" w:hAnsi="楷体" w:eastAsia="楷体" w:cs="楷体"/>
          <w:sz w:val="24"/>
          <w:szCs w:val="32"/>
        </w:rPr>
        <w:t>下表是中国大型国有蓝筹股，中国核心支柱产业的上市公司的估值水平和市值。</w:t>
      </w:r>
      <w:r>
        <w:drawing>
          <wp:inline distT="0" distB="0" distL="114300" distR="114300">
            <wp:extent cx="5725795" cy="1186180"/>
            <wp:effectExtent l="0" t="0" r="444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725795" cy="1186180"/>
                    </a:xfrm>
                    <a:prstGeom prst="rect">
                      <a:avLst/>
                    </a:prstGeom>
                    <a:noFill/>
                    <a:ln>
                      <a:noFill/>
                    </a:ln>
                  </pic:spPr>
                </pic:pic>
              </a:graphicData>
            </a:graphic>
          </wp:inline>
        </w:drawing>
      </w:r>
    </w:p>
    <w:p>
      <w:pPr>
        <w:adjustRightInd w:val="0"/>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以上数据证明在中国资本市场存在着大量的低估值板块，这些板块低估幅度大到</w:t>
      </w:r>
      <w:r>
        <w:rPr>
          <w:rFonts w:hint="eastAsia" w:ascii="楷体" w:hAnsi="楷体" w:eastAsia="楷体" w:cs="楷体"/>
          <w:sz w:val="24"/>
          <w:szCs w:val="24"/>
          <w:lang w:eastAsia="zh-CN"/>
        </w:rPr>
        <w:t>明显</w:t>
      </w:r>
      <w:r>
        <w:rPr>
          <w:rFonts w:hint="eastAsia" w:ascii="楷体" w:hAnsi="楷体" w:eastAsia="楷体" w:cs="楷体"/>
          <w:sz w:val="24"/>
          <w:szCs w:val="24"/>
        </w:rPr>
        <w:t>不合理。被低估的板块总市值规模巨大，占到整个市场流通市值的20%。大量被严重低估板块的存在奠定了搞活股市的客观基础，数据和事实强烈证明，中国资本</w:t>
      </w:r>
      <w:r>
        <w:rPr>
          <w:rFonts w:hint="eastAsia" w:ascii="楷体" w:hAnsi="楷体" w:eastAsia="楷体" w:cs="楷体"/>
          <w:sz w:val="24"/>
          <w:szCs w:val="24"/>
          <w:lang w:eastAsia="zh-CN"/>
        </w:rPr>
        <w:t>市场</w:t>
      </w:r>
      <w:r>
        <w:rPr>
          <w:rFonts w:hint="eastAsia" w:ascii="楷体" w:hAnsi="楷体" w:eastAsia="楷体" w:cs="楷体"/>
          <w:sz w:val="24"/>
          <w:szCs w:val="24"/>
        </w:rPr>
        <w:t>具备着搞活的客观估值条件，中央高层提出的搞活股市促进消费的资本市场发展战略符合客观事实，符合价值规律，具有充足的现实合理性和可行性。</w:t>
      </w:r>
    </w:p>
    <w:p>
      <w:pPr>
        <w:adjustRightInd w:val="0"/>
        <w:spacing w:line="360" w:lineRule="auto"/>
        <w:ind w:firstLine="480" w:firstLineChars="200"/>
        <w:rPr>
          <w:rFonts w:hint="eastAsia" w:ascii="楷体" w:hAnsi="楷体" w:eastAsia="楷体" w:cs="楷体"/>
          <w:sz w:val="24"/>
          <w:szCs w:val="24"/>
        </w:rPr>
      </w:pPr>
    </w:p>
    <w:p>
      <w:pPr>
        <w:pStyle w:val="3"/>
        <w:keepNext/>
        <w:keepLines/>
        <w:pageBreakBefore w:val="0"/>
        <w:widowControl w:val="0"/>
        <w:kinsoku/>
        <w:wordWrap/>
        <w:overflowPunct/>
        <w:topLinePunct w:val="0"/>
        <w:autoSpaceDE/>
        <w:autoSpaceDN/>
        <w:bidi w:val="0"/>
        <w:adjustRightInd w:val="0"/>
        <w:snapToGrid w:val="0"/>
        <w:spacing w:line="360" w:lineRule="auto"/>
        <w:ind w:firstLine="640" w:firstLineChars="200"/>
        <w:textAlignment w:val="auto"/>
      </w:pPr>
      <w:bookmarkStart w:id="3" w:name="_Toc9774"/>
      <w:r>
        <w:t>（二）中国股市出现了生态危机</w:t>
      </w:r>
      <w:bookmarkEnd w:id="3"/>
    </w:p>
    <w:p>
      <w:pPr>
        <w:adjustRightInd w:val="0"/>
        <w:spacing w:line="360" w:lineRule="auto"/>
        <w:ind w:left="440" w:firstLine="480" w:firstLineChars="200"/>
        <w:jc w:val="both"/>
        <w:rPr>
          <w:rFonts w:ascii="楷体" w:hAnsi="楷体" w:eastAsia="楷体" w:cs="楷体"/>
          <w:sz w:val="24"/>
          <w:szCs w:val="24"/>
        </w:rPr>
      </w:pPr>
      <w:r>
        <w:rPr>
          <w:rFonts w:hint="eastAsia" w:ascii="楷体" w:hAnsi="楷体" w:eastAsia="楷体" w:cs="楷体"/>
          <w:sz w:val="24"/>
          <w:szCs w:val="24"/>
        </w:rPr>
        <w:t>巴菲特在给伯克希尔公司挑选接班人的时候开出了四个条件，分别是：</w:t>
      </w:r>
    </w:p>
    <w:p>
      <w:pPr>
        <w:numPr>
          <w:ilvl w:val="0"/>
          <w:numId w:val="1"/>
        </w:numPr>
        <w:adjustRightInd w:val="0"/>
        <w:spacing w:line="360" w:lineRule="auto"/>
        <w:ind w:firstLine="482" w:firstLineChars="200"/>
        <w:rPr>
          <w:rFonts w:ascii="楷体" w:hAnsi="楷体" w:eastAsia="楷体" w:cs="楷体"/>
          <w:b/>
          <w:bCs/>
          <w:sz w:val="24"/>
          <w:szCs w:val="24"/>
        </w:rPr>
      </w:pPr>
      <w:r>
        <w:rPr>
          <w:rFonts w:hint="eastAsia" w:ascii="楷体" w:hAnsi="楷体" w:eastAsia="楷体" w:cs="楷体"/>
          <w:b/>
          <w:bCs/>
          <w:sz w:val="24"/>
          <w:szCs w:val="24"/>
        </w:rPr>
        <w:t>对风险的极端敏感</w:t>
      </w:r>
    </w:p>
    <w:p>
      <w:pPr>
        <w:numPr>
          <w:ilvl w:val="0"/>
          <w:numId w:val="1"/>
        </w:numPr>
        <w:adjustRightInd w:val="0"/>
        <w:spacing w:line="360" w:lineRule="auto"/>
        <w:ind w:firstLine="482" w:firstLineChars="200"/>
        <w:rPr>
          <w:rFonts w:ascii="楷体" w:hAnsi="楷体" w:eastAsia="楷体" w:cs="楷体"/>
          <w:b/>
          <w:bCs/>
          <w:sz w:val="24"/>
          <w:szCs w:val="24"/>
        </w:rPr>
      </w:pPr>
      <w:r>
        <w:rPr>
          <w:rFonts w:hint="eastAsia" w:ascii="楷体" w:hAnsi="楷体" w:eastAsia="楷体" w:cs="楷体"/>
          <w:b/>
          <w:bCs/>
          <w:sz w:val="24"/>
          <w:szCs w:val="24"/>
        </w:rPr>
        <w:t>独立思考。</w:t>
      </w:r>
    </w:p>
    <w:p>
      <w:pPr>
        <w:numPr>
          <w:ilvl w:val="0"/>
          <w:numId w:val="1"/>
        </w:numPr>
        <w:adjustRightInd w:val="0"/>
        <w:spacing w:line="360" w:lineRule="auto"/>
        <w:ind w:firstLine="482" w:firstLineChars="200"/>
        <w:rPr>
          <w:rFonts w:ascii="楷体" w:hAnsi="楷体" w:eastAsia="楷体" w:cs="楷体"/>
          <w:b/>
          <w:bCs/>
          <w:sz w:val="24"/>
          <w:szCs w:val="24"/>
        </w:rPr>
      </w:pPr>
      <w:r>
        <w:rPr>
          <w:rFonts w:hint="eastAsia" w:ascii="楷体" w:hAnsi="楷体" w:eastAsia="楷体" w:cs="楷体"/>
          <w:b/>
          <w:bCs/>
          <w:sz w:val="24"/>
          <w:szCs w:val="24"/>
        </w:rPr>
        <w:t>情绪稳定。</w:t>
      </w:r>
    </w:p>
    <w:p>
      <w:pPr>
        <w:numPr>
          <w:ilvl w:val="0"/>
          <w:numId w:val="1"/>
        </w:numPr>
        <w:adjustRightInd w:val="0"/>
        <w:spacing w:line="360" w:lineRule="auto"/>
        <w:ind w:firstLine="482" w:firstLineChars="200"/>
        <w:rPr>
          <w:rFonts w:ascii="楷体" w:hAnsi="楷体" w:eastAsia="楷体" w:cs="楷体"/>
          <w:b/>
          <w:bCs/>
          <w:sz w:val="24"/>
          <w:szCs w:val="24"/>
        </w:rPr>
      </w:pPr>
      <w:r>
        <w:rPr>
          <w:rFonts w:hint="eastAsia" w:ascii="楷体" w:hAnsi="楷体" w:eastAsia="楷体" w:cs="楷体"/>
          <w:b/>
          <w:bCs/>
          <w:sz w:val="24"/>
          <w:szCs w:val="24"/>
        </w:rPr>
        <w:t>理解机构投资者的行为特征。</w:t>
      </w:r>
    </w:p>
    <w:p>
      <w:pPr>
        <w:adjustRightInd w:val="0"/>
        <w:spacing w:line="360" w:lineRule="auto"/>
        <w:ind w:left="440" w:firstLine="480" w:firstLineChars="200"/>
        <w:jc w:val="both"/>
        <w:rPr>
          <w:rFonts w:hint="eastAsia" w:ascii="楷体" w:hAnsi="楷体" w:eastAsia="楷体" w:cs="楷体"/>
          <w:sz w:val="24"/>
          <w:szCs w:val="24"/>
        </w:rPr>
      </w:pPr>
      <w:r>
        <w:rPr>
          <w:rFonts w:hint="eastAsia" w:ascii="楷体" w:hAnsi="楷体" w:eastAsia="楷体" w:cs="楷体"/>
          <w:sz w:val="24"/>
          <w:szCs w:val="24"/>
        </w:rPr>
        <w:t>为什么巴菲特要求他的接班人必须理解机构投资者的行为特征？因为在资本市场的中短期变化，主要是市场中的机构投资者决定和塑造的。知道了一个市场中机构投资者的行为特征，就可以基于这些机构投资者的行为特征大体预测市场的波动特征和风险特征。</w:t>
      </w:r>
    </w:p>
    <w:p>
      <w:pPr>
        <w:adjustRightInd w:val="0"/>
        <w:spacing w:line="360" w:lineRule="auto"/>
        <w:ind w:left="440" w:firstLine="482" w:firstLineChars="200"/>
        <w:jc w:val="both"/>
        <w:rPr>
          <w:rFonts w:ascii="楷体" w:hAnsi="楷体" w:eastAsia="楷体" w:cs="楷体"/>
          <w:sz w:val="24"/>
          <w:szCs w:val="24"/>
        </w:rPr>
      </w:pPr>
      <w:r>
        <w:rPr>
          <w:rFonts w:hint="eastAsia" w:ascii="楷体" w:hAnsi="楷体" w:eastAsia="楷体" w:cs="楷体"/>
          <w:b/>
          <w:bCs/>
          <w:sz w:val="24"/>
          <w:szCs w:val="24"/>
        </w:rPr>
        <w:t>一个市场的走势和风险特征，在一定程度上是这个市场机构投资者的行为特征的反应所表现。市场的中短期变化是有定价权的主流或者次主流机构投资者的行为所决定的。</w:t>
      </w:r>
      <w:r>
        <w:rPr>
          <w:rFonts w:hint="eastAsia" w:ascii="楷体" w:hAnsi="楷体" w:eastAsia="楷体" w:cs="楷体"/>
          <w:sz w:val="24"/>
          <w:szCs w:val="24"/>
        </w:rPr>
        <w:t>这就是巴菲特给接班人条件中加入理解机构投资者行为特征的原因。</w:t>
      </w:r>
    </w:p>
    <w:p>
      <w:pPr>
        <w:adjustRightInd w:val="0"/>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没有哪个国家的股票市场，像中国股市这样频繁</w:t>
      </w:r>
      <w:r>
        <w:rPr>
          <w:rFonts w:hint="eastAsia" w:ascii="楷体" w:hAnsi="楷体" w:eastAsia="楷体" w:cs="楷体"/>
          <w:sz w:val="24"/>
          <w:szCs w:val="24"/>
          <w:lang w:eastAsia="zh"/>
        </w:rPr>
        <w:t>地</w:t>
      </w:r>
      <w:r>
        <w:rPr>
          <w:rFonts w:hint="eastAsia" w:ascii="楷体" w:hAnsi="楷体" w:eastAsia="楷体" w:cs="楷体"/>
          <w:sz w:val="24"/>
          <w:szCs w:val="24"/>
        </w:rPr>
        <w:t>，每隔</w:t>
      </w:r>
      <w:r>
        <w:rPr>
          <w:rFonts w:hint="eastAsia" w:ascii="楷体" w:hAnsi="楷体" w:eastAsia="楷体" w:cs="楷体"/>
          <w:sz w:val="24"/>
          <w:szCs w:val="24"/>
          <w:lang w:eastAsia="zh-CN"/>
        </w:rPr>
        <w:t>五六年</w:t>
      </w:r>
      <w:r>
        <w:rPr>
          <w:rFonts w:hint="eastAsia" w:ascii="楷体" w:hAnsi="楷体" w:eastAsia="楷体" w:cs="楷体"/>
          <w:sz w:val="24"/>
          <w:szCs w:val="24"/>
        </w:rPr>
        <w:t>就必然崩溃一次，而且还会带走一</w:t>
      </w:r>
      <w:r>
        <w:rPr>
          <w:rFonts w:hint="eastAsia" w:ascii="楷体" w:hAnsi="楷体" w:eastAsia="楷体" w:cs="楷体"/>
          <w:sz w:val="24"/>
          <w:szCs w:val="24"/>
          <w:lang w:eastAsia="zh"/>
        </w:rPr>
        <w:t>位</w:t>
      </w:r>
      <w:r>
        <w:rPr>
          <w:rFonts w:hint="eastAsia" w:ascii="楷体" w:hAnsi="楷体" w:eastAsia="楷体" w:cs="楷体"/>
          <w:sz w:val="24"/>
          <w:szCs w:val="24"/>
        </w:rPr>
        <w:t>证监会主席。</w:t>
      </w:r>
    </w:p>
    <w:p>
      <w:pPr>
        <w:adjustRightIn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美国作为世界最容易发生金融崩溃和危机的国家，往往是</w:t>
      </w:r>
      <w:r>
        <w:rPr>
          <w:rFonts w:hint="eastAsia" w:ascii="楷体" w:hAnsi="楷体" w:eastAsia="楷体" w:cs="楷体"/>
          <w:sz w:val="24"/>
          <w:szCs w:val="24"/>
          <w:lang w:eastAsia="zh-CN"/>
        </w:rPr>
        <w:t>二三十年</w:t>
      </w:r>
      <w:r>
        <w:rPr>
          <w:rFonts w:hint="eastAsia" w:ascii="楷体" w:hAnsi="楷体" w:eastAsia="楷体" w:cs="楷体"/>
          <w:sz w:val="24"/>
          <w:szCs w:val="24"/>
        </w:rPr>
        <w:t>才发生一次崩塌，但是中国总会在</w:t>
      </w:r>
      <w:r>
        <w:rPr>
          <w:rFonts w:hint="eastAsia" w:ascii="楷体" w:hAnsi="楷体" w:eastAsia="楷体" w:cs="楷体"/>
          <w:sz w:val="24"/>
          <w:szCs w:val="24"/>
          <w:lang w:eastAsia="zh-CN"/>
        </w:rPr>
        <w:t>五六年</w:t>
      </w:r>
      <w:r>
        <w:rPr>
          <w:rFonts w:hint="eastAsia" w:ascii="楷体" w:hAnsi="楷体" w:eastAsia="楷体" w:cs="楷体"/>
          <w:sz w:val="24"/>
          <w:szCs w:val="24"/>
        </w:rPr>
        <w:t>之内出现一次罕见的崩塌。此种现象随着时间推移越来越频繁，崩溃的幅度越来越大</w:t>
      </w:r>
      <w:r>
        <w:rPr>
          <w:rFonts w:hint="eastAsia" w:ascii="楷体" w:hAnsi="楷体" w:eastAsia="楷体" w:cs="楷体"/>
          <w:sz w:val="24"/>
          <w:szCs w:val="24"/>
          <w:lang w:eastAsia="zh"/>
        </w:rPr>
        <w:t>，</w:t>
      </w:r>
      <w:r>
        <w:rPr>
          <w:rFonts w:hint="eastAsia" w:ascii="楷体" w:hAnsi="楷体" w:eastAsia="楷体" w:cs="楷体"/>
          <w:sz w:val="24"/>
          <w:szCs w:val="24"/>
        </w:rPr>
        <w:t>以至于这成为中国资本市场参与者、监管者，学术研究者共同倍感困惑的世纪难题！投资</w:t>
      </w:r>
      <w:r>
        <w:rPr>
          <w:rFonts w:hint="eastAsia" w:ascii="楷体" w:hAnsi="楷体" w:eastAsia="楷体" w:cs="楷体"/>
          <w:sz w:val="24"/>
          <w:szCs w:val="24"/>
          <w:lang w:eastAsia="zh-CN"/>
        </w:rPr>
        <w:t>者和</w:t>
      </w:r>
      <w:r>
        <w:rPr>
          <w:rFonts w:hint="eastAsia" w:ascii="楷体" w:hAnsi="楷体" w:eastAsia="楷体" w:cs="楷体"/>
          <w:sz w:val="24"/>
          <w:szCs w:val="24"/>
        </w:rPr>
        <w:t>学术界都各自为这个问题提供原因和答案，</w:t>
      </w:r>
      <w:r>
        <w:rPr>
          <w:rFonts w:hint="eastAsia" w:ascii="楷体" w:hAnsi="楷体" w:eastAsia="楷体" w:cs="楷体"/>
          <w:b/>
          <w:bCs/>
          <w:sz w:val="24"/>
          <w:szCs w:val="24"/>
        </w:rPr>
        <w:t>主流流行的观点认为这是因为中国股市过度发行</w:t>
      </w:r>
      <w:r>
        <w:rPr>
          <w:rFonts w:hint="eastAsia" w:ascii="楷体" w:hAnsi="楷体" w:eastAsia="楷体" w:cs="楷体"/>
          <w:b/>
          <w:bCs/>
          <w:sz w:val="24"/>
          <w:szCs w:val="24"/>
          <w:lang w:eastAsia="zh"/>
        </w:rPr>
        <w:t>，</w:t>
      </w:r>
      <w:r>
        <w:rPr>
          <w:rFonts w:hint="eastAsia" w:ascii="楷体" w:hAnsi="楷体" w:eastAsia="楷体" w:cs="楷体"/>
          <w:b/>
          <w:bCs/>
          <w:sz w:val="24"/>
          <w:szCs w:val="24"/>
        </w:rPr>
        <w:t>是因为大股东减持造成的。这是中国股市问题重重长期得不到解决的原因之一，这个诊断本身就是错的，</w:t>
      </w:r>
      <w:r>
        <w:rPr>
          <w:rFonts w:hint="eastAsia" w:ascii="楷体" w:hAnsi="楷体" w:eastAsia="楷体" w:cs="楷体"/>
          <w:b/>
          <w:sz w:val="24"/>
          <w:szCs w:val="24"/>
        </w:rPr>
        <w:t>中国股市极严重的问题和缺陷的原因一定是在于中国股市内部。</w:t>
      </w:r>
      <w:r>
        <w:rPr>
          <w:rFonts w:hint="eastAsia" w:ascii="楷体" w:hAnsi="楷体" w:eastAsia="楷体" w:cs="楷体"/>
          <w:sz w:val="24"/>
          <w:szCs w:val="24"/>
        </w:rPr>
        <w:t>中国股市不仅没有搞活，反而单边下跌，以至于在2024年春节走向</w:t>
      </w:r>
      <w:r>
        <w:rPr>
          <w:rFonts w:hint="eastAsia" w:ascii="楷体" w:hAnsi="楷体" w:eastAsia="楷体" w:cs="楷体"/>
          <w:sz w:val="24"/>
          <w:szCs w:val="24"/>
          <w:lang w:eastAsia="zh-CN"/>
        </w:rPr>
        <w:t>急速</w:t>
      </w:r>
      <w:r>
        <w:rPr>
          <w:rFonts w:hint="eastAsia" w:ascii="楷体" w:hAnsi="楷体" w:eastAsia="楷体" w:cs="楷体"/>
          <w:sz w:val="24"/>
          <w:szCs w:val="24"/>
        </w:rPr>
        <w:t>崩溃，这一事实证明主流资金没有在维护市场稳定，推动股市健康发展承担起推动社会经济转型升级发展的社会责任，即使在中央高层提出要求的时候，他们也不去承担起必须承担的责任。</w:t>
      </w:r>
    </w:p>
    <w:p>
      <w:pPr>
        <w:adjustRightInd w:val="0"/>
        <w:spacing w:line="360" w:lineRule="auto"/>
        <w:ind w:firstLine="482" w:firstLineChars="200"/>
        <w:jc w:val="both"/>
        <w:rPr>
          <w:rFonts w:hint="eastAsia" w:ascii="楷体" w:hAnsi="楷体" w:eastAsia="楷体" w:cs="楷体"/>
          <w:b/>
          <w:bCs/>
          <w:sz w:val="24"/>
          <w:szCs w:val="24"/>
        </w:rPr>
      </w:pPr>
      <w:r>
        <w:rPr>
          <w:rFonts w:hint="eastAsia" w:ascii="楷体" w:hAnsi="楷体" w:eastAsia="楷体" w:cs="楷体"/>
          <w:b/>
          <w:bCs/>
          <w:sz w:val="24"/>
          <w:szCs w:val="24"/>
        </w:rPr>
        <w:t>巴菲特在选择接班人条件的时候告诉我们，中国资本市场几十年来周期性崩溃</w:t>
      </w:r>
      <w:r>
        <w:rPr>
          <w:rFonts w:hint="eastAsia" w:ascii="楷体" w:hAnsi="楷体" w:eastAsia="楷体" w:cs="楷体"/>
          <w:b/>
          <w:bCs/>
          <w:sz w:val="24"/>
          <w:szCs w:val="24"/>
          <w:lang w:eastAsia="zh-CN"/>
        </w:rPr>
        <w:t>、</w:t>
      </w:r>
      <w:r>
        <w:rPr>
          <w:rFonts w:hint="eastAsia" w:ascii="楷体" w:hAnsi="楷体" w:eastAsia="楷体" w:cs="楷体"/>
          <w:b/>
          <w:bCs/>
          <w:sz w:val="24"/>
          <w:szCs w:val="24"/>
        </w:rPr>
        <w:t>一直是牛短熊长</w:t>
      </w:r>
      <w:r>
        <w:rPr>
          <w:rFonts w:hint="eastAsia" w:ascii="楷体" w:hAnsi="楷体" w:eastAsia="楷体" w:cs="楷体"/>
          <w:b/>
          <w:bCs/>
          <w:sz w:val="24"/>
          <w:szCs w:val="24"/>
          <w:lang w:eastAsia="zh-CN"/>
        </w:rPr>
        <w:t>、</w:t>
      </w:r>
      <w:r>
        <w:rPr>
          <w:rFonts w:hint="eastAsia" w:ascii="楷体" w:hAnsi="楷体" w:eastAsia="楷体" w:cs="楷体"/>
          <w:b/>
          <w:bCs/>
          <w:sz w:val="24"/>
          <w:szCs w:val="24"/>
        </w:rPr>
        <w:t>大起大落，根本原因是市场内部的机构投资者的行为存在问题，使得中国股市出现了生态危机，而不是中国股市过度发行和大股东减持造成的。</w:t>
      </w:r>
    </w:p>
    <w:p>
      <w:pPr>
        <w:adjustRightInd w:val="0"/>
        <w:spacing w:line="360" w:lineRule="auto"/>
        <w:ind w:firstLine="482" w:firstLineChars="200"/>
        <w:jc w:val="both"/>
        <w:rPr>
          <w:rFonts w:hint="eastAsia" w:ascii="楷体" w:hAnsi="楷体" w:eastAsia="楷体" w:cs="楷体"/>
          <w:b/>
          <w:bCs/>
          <w:sz w:val="24"/>
          <w:szCs w:val="24"/>
        </w:rPr>
      </w:pPr>
    </w:p>
    <w:p>
      <w:pPr>
        <w:pStyle w:val="2"/>
        <w:keepNext/>
        <w:keepLines/>
        <w:pageBreakBefore w:val="0"/>
        <w:widowControl w:val="0"/>
        <w:kinsoku/>
        <w:wordWrap/>
        <w:overflowPunct/>
        <w:topLinePunct w:val="0"/>
        <w:autoSpaceDE/>
        <w:autoSpaceDN/>
        <w:bidi w:val="0"/>
        <w:adjustRightInd w:val="0"/>
        <w:snapToGrid w:val="0"/>
        <w:spacing w:line="360" w:lineRule="auto"/>
        <w:ind w:firstLine="720" w:firstLineChars="200"/>
        <w:textAlignment w:val="auto"/>
        <w:rPr>
          <w:szCs w:val="30"/>
        </w:rPr>
      </w:pPr>
      <w:bookmarkStart w:id="4" w:name="_Toc30200"/>
      <w:r>
        <w:rPr>
          <w:szCs w:val="30"/>
        </w:rPr>
        <w:t>三、上市公司IPO不是中国股市深层次问题的责任方</w:t>
      </w:r>
      <w:bookmarkEnd w:id="4"/>
    </w:p>
    <w:p>
      <w:pPr>
        <w:adjustRightInd w:val="0"/>
        <w:spacing w:line="360" w:lineRule="auto"/>
        <w:ind w:firstLine="480" w:firstLineChars="200"/>
        <w:jc w:val="both"/>
        <w:rPr>
          <w:rFonts w:hint="eastAsia" w:ascii="楷体" w:hAnsi="楷体" w:eastAsia="楷体" w:cs="楷体"/>
          <w:sz w:val="24"/>
          <w:szCs w:val="24"/>
        </w:rPr>
      </w:pPr>
      <w:r>
        <w:rPr>
          <w:rFonts w:hint="eastAsia" w:ascii="楷体" w:hAnsi="楷体" w:eastAsia="楷体" w:cs="楷体"/>
          <w:sz w:val="24"/>
          <w:szCs w:val="24"/>
        </w:rPr>
        <w:t>下表是我和我的伙伴对中国过去30年上市发行价，以及发行后二级市场的开盘价进行的数据统计：</w:t>
      </w:r>
    </w:p>
    <w:p>
      <w:pPr>
        <w:adjustRightInd w:val="0"/>
        <w:spacing w:line="360" w:lineRule="auto"/>
        <w:ind w:firstLine="440" w:firstLineChars="200"/>
        <w:jc w:val="both"/>
        <w:rPr>
          <w:rFonts w:hint="eastAsia" w:ascii="楷体" w:hAnsi="楷体" w:eastAsia="楷体" w:cs="楷体"/>
          <w:sz w:val="24"/>
          <w:szCs w:val="24"/>
        </w:rPr>
      </w:pPr>
      <w:r>
        <w:drawing>
          <wp:inline distT="0" distB="0" distL="114300" distR="114300">
            <wp:extent cx="5516880" cy="7200900"/>
            <wp:effectExtent l="0" t="0" r="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5516880" cy="7200900"/>
                    </a:xfrm>
                    <a:prstGeom prst="rect">
                      <a:avLst/>
                    </a:prstGeom>
                    <a:noFill/>
                    <a:ln>
                      <a:noFill/>
                    </a:ln>
                  </pic:spPr>
                </pic:pic>
              </a:graphicData>
            </a:graphic>
          </wp:inline>
        </w:drawing>
      </w:r>
    </w:p>
    <w:p>
      <w:pPr>
        <w:pStyle w:val="6"/>
        <w:keepNext w:val="0"/>
        <w:keepLines w:val="0"/>
        <w:pageBreakBefore w:val="0"/>
        <w:widowControl/>
        <w:kinsoku/>
        <w:wordWrap/>
        <w:overflowPunct/>
        <w:topLinePunct w:val="0"/>
        <w:autoSpaceDE/>
        <w:autoSpaceDN/>
        <w:bidi w:val="0"/>
        <w:adjustRightInd w:val="0"/>
        <w:snapToGrid/>
        <w:spacing w:before="0" w:beforeLines="50" w:line="240" w:lineRule="auto"/>
        <w:ind w:firstLine="0" w:firstLineChars="0"/>
        <w:jc w:val="both"/>
        <w:textAlignment w:val="auto"/>
        <w:rPr>
          <w:color w:val="000000"/>
        </w:rPr>
      </w:pPr>
      <w:r>
        <w:drawing>
          <wp:inline distT="0" distB="0" distL="114300" distR="114300">
            <wp:extent cx="5727065" cy="3509645"/>
            <wp:effectExtent l="0" t="0" r="3175" b="1079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4"/>
                    <a:stretch>
                      <a:fillRect/>
                    </a:stretch>
                  </pic:blipFill>
                  <pic:spPr>
                    <a:xfrm>
                      <a:off x="0" y="0"/>
                      <a:ext cx="5727065" cy="3509645"/>
                    </a:xfrm>
                    <a:prstGeom prst="rect">
                      <a:avLst/>
                    </a:prstGeom>
                    <a:noFill/>
                    <a:ln>
                      <a:noFill/>
                    </a:ln>
                  </pic:spPr>
                </pic:pic>
              </a:graphicData>
            </a:graphic>
          </wp:inline>
        </w:drawing>
      </w:r>
    </w:p>
    <w:p>
      <w:pPr>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以上数据证明新上市公司在二级市场交易后，开盘市盈率立即比发行市盈率上升一倍。以发行价认购了原始股股份，在二级市场始终可以获利。下表是2014年到2023年9月，</w:t>
      </w:r>
      <w:r>
        <w:rPr>
          <w:rFonts w:hint="eastAsia" w:ascii="楷体" w:hAnsi="楷体" w:eastAsia="楷体" w:cs="楷体"/>
          <w:sz w:val="24"/>
          <w:szCs w:val="24"/>
          <w:lang w:eastAsia="zh"/>
        </w:rPr>
        <w:t>A股</w:t>
      </w:r>
      <w:r>
        <w:rPr>
          <w:rFonts w:hint="eastAsia" w:ascii="楷体" w:hAnsi="楷体" w:eastAsia="楷体" w:cs="楷体"/>
          <w:sz w:val="24"/>
          <w:szCs w:val="24"/>
        </w:rPr>
        <w:t>市场所发行的新股发行价</w:t>
      </w:r>
      <w:r>
        <w:rPr>
          <w:rFonts w:hint="eastAsia" w:ascii="楷体" w:hAnsi="楷体" w:eastAsia="楷体" w:cs="楷体"/>
          <w:sz w:val="24"/>
          <w:szCs w:val="24"/>
          <w:lang w:eastAsia="zh-CN"/>
        </w:rPr>
        <w:t>，以及</w:t>
      </w:r>
      <w:r>
        <w:rPr>
          <w:rFonts w:hint="eastAsia" w:ascii="楷体" w:hAnsi="楷体" w:eastAsia="楷体" w:cs="楷体"/>
          <w:sz w:val="24"/>
          <w:szCs w:val="24"/>
        </w:rPr>
        <w:t>在上市交易不同时点的价格！</w:t>
      </w:r>
    </w:p>
    <w:p>
      <w:pPr>
        <w:keepNext w:val="0"/>
        <w:keepLines w:val="0"/>
        <w:pageBreakBefore w:val="0"/>
        <w:widowControl/>
        <w:shd w:val="clear" w:color="auto" w:fill="FFFFFF"/>
        <w:kinsoku/>
        <w:wordWrap/>
        <w:overflowPunct/>
        <w:topLinePunct w:val="0"/>
        <w:autoSpaceDE/>
        <w:autoSpaceDN/>
        <w:bidi w:val="0"/>
        <w:adjustRightInd w:val="0"/>
        <w:snapToGrid/>
        <w:spacing w:before="0" w:after="0" w:afterLines="50" w:line="240" w:lineRule="auto"/>
        <w:ind w:firstLine="0" w:firstLineChars="0"/>
        <w:jc w:val="both"/>
        <w:textAlignment w:val="auto"/>
        <w:rPr>
          <w:rFonts w:hint="eastAsia" w:ascii="楷体" w:hAnsi="楷体" w:eastAsia="楷体" w:cs="楷体"/>
        </w:rPr>
      </w:pPr>
      <w:r>
        <w:drawing>
          <wp:inline distT="0" distB="0" distL="114300" distR="114300">
            <wp:extent cx="5724525" cy="3125470"/>
            <wp:effectExtent l="0" t="0" r="5715" b="1397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5"/>
                    <a:stretch>
                      <a:fillRect/>
                    </a:stretch>
                  </pic:blipFill>
                  <pic:spPr>
                    <a:xfrm>
                      <a:off x="0" y="0"/>
                      <a:ext cx="5724525" cy="3125470"/>
                    </a:xfrm>
                    <a:prstGeom prst="rect">
                      <a:avLst/>
                    </a:prstGeom>
                    <a:noFill/>
                    <a:ln>
                      <a:noFill/>
                    </a:ln>
                  </pic:spPr>
                </pic:pic>
              </a:graphicData>
            </a:graphic>
          </wp:inline>
        </w:drawing>
      </w:r>
    </w:p>
    <w:p>
      <w:pPr>
        <w:adjustRightInd w:val="0"/>
        <w:spacing w:line="360" w:lineRule="auto"/>
        <w:ind w:firstLine="480" w:firstLineChars="200"/>
        <w:jc w:val="both"/>
        <w:rPr>
          <w:rFonts w:hint="eastAsia" w:ascii="楷体" w:hAnsi="楷体" w:eastAsia="楷体" w:cs="楷体"/>
          <w:sz w:val="24"/>
          <w:szCs w:val="24"/>
        </w:rPr>
      </w:pPr>
      <w:r>
        <w:rPr>
          <w:rFonts w:hint="eastAsia" w:ascii="楷体" w:hAnsi="楷体" w:eastAsia="楷体" w:cs="楷体"/>
          <w:sz w:val="24"/>
          <w:szCs w:val="24"/>
        </w:rPr>
        <w:t>过去10年，中国</w:t>
      </w:r>
      <w:r>
        <w:rPr>
          <w:rFonts w:hint="eastAsia" w:ascii="楷体" w:hAnsi="楷体" w:eastAsia="楷体" w:cs="楷体"/>
          <w:sz w:val="24"/>
          <w:szCs w:val="24"/>
          <w:lang w:eastAsia="zh"/>
        </w:rPr>
        <w:t>A股</w:t>
      </w:r>
      <w:r>
        <w:rPr>
          <w:rFonts w:hint="eastAsia" w:ascii="楷体" w:hAnsi="楷体" w:eastAsia="楷体" w:cs="楷体"/>
          <w:sz w:val="24"/>
          <w:szCs w:val="24"/>
        </w:rPr>
        <w:t>市场一共发行了2300家新股，这2300家新股完成发行进入二级市场交易，第一个月的平均交易价格相对于发行价的涨幅是210%。而以上市第一个月的平均交易价格，后面接盘买入的投资者在任何时点上都不挣钱。</w:t>
      </w:r>
    </w:p>
    <w:p>
      <w:pPr>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表中数据可以看到以发行价买入原始股的投资人，在二级市场的任何时间点都可以获利。</w:t>
      </w:r>
      <w:r>
        <w:rPr>
          <w:rFonts w:hint="eastAsia" w:ascii="楷体" w:hAnsi="楷体" w:eastAsia="楷体" w:cs="楷体"/>
          <w:b/>
          <w:bCs/>
          <w:sz w:val="24"/>
          <w:szCs w:val="24"/>
        </w:rPr>
        <w:t>在2014年到现在十年中，以发行价买入原始股的投资人，在二级市场的任何时间点都可以获利的事实证明，IPO发行价并没有高估，上市公司在新股发行定价时没有损害二级市场投资者的利益！</w:t>
      </w:r>
      <w:r>
        <w:rPr>
          <w:rFonts w:hint="eastAsia" w:ascii="楷体" w:hAnsi="楷体" w:eastAsia="楷体" w:cs="楷体"/>
          <w:sz w:val="24"/>
          <w:szCs w:val="24"/>
        </w:rPr>
        <w:t>上市公司在新股发行过程中，发行价定价是趋于合理的，是可以让投资者获利不亏钱的。用原始发行价买入新股的投资者，在二级市场的任何时候都能赚钱的客观事实证明：</w:t>
      </w:r>
      <w:r>
        <w:rPr>
          <w:rFonts w:hint="eastAsia" w:ascii="楷体" w:hAnsi="楷体" w:eastAsia="楷体" w:cs="楷体"/>
          <w:b/>
          <w:bCs/>
          <w:sz w:val="24"/>
          <w:szCs w:val="24"/>
        </w:rPr>
        <w:t>认为IPO过程上市公司乃至上市公司的大股东其定价是公平的，是合理的，是没有伤害二级市场的投资人的。新股高开盘价的受益人以及高开盘价带来的巨大利益的获得者是参与新股首发，获得申购优势有新股定价权的机构投资者。</w:t>
      </w:r>
    </w:p>
    <w:p>
      <w:pPr>
        <w:adjustRightInd w:val="0"/>
        <w:spacing w:line="360" w:lineRule="auto"/>
        <w:ind w:firstLine="482" w:firstLineChars="200"/>
        <w:jc w:val="both"/>
        <w:rPr>
          <w:rFonts w:ascii="楷体" w:hAnsi="楷体" w:eastAsia="楷体" w:cs="楷体"/>
          <w:b/>
          <w:bCs/>
          <w:sz w:val="24"/>
          <w:szCs w:val="24"/>
        </w:rPr>
      </w:pPr>
      <w:r>
        <w:rPr>
          <w:rFonts w:hint="eastAsia" w:ascii="楷体" w:hAnsi="楷体" w:eastAsia="楷体" w:cs="楷体"/>
          <w:b/>
          <w:bCs/>
          <w:sz w:val="24"/>
          <w:szCs w:val="24"/>
        </w:rPr>
        <w:t>真正的问题是新股开盘价长期高于发行价一倍到几倍！上市开盘价倍增后价格已经严重泡沫化了，二级市场的买入者会规律性必定亏钱！而新股开盘价长期定得高于发行价一倍到几倍，让可以用原始发行价买入更多的原始股的机构投资者大获其利。高开盘价实现了有原始股定价权的机构投资者对二级市场投资者的收割和掠夺。</w:t>
      </w:r>
    </w:p>
    <w:p>
      <w:pPr>
        <w:adjustRightInd w:val="0"/>
        <w:spacing w:line="360" w:lineRule="auto"/>
        <w:ind w:firstLine="480" w:firstLineChars="200"/>
        <w:jc w:val="both"/>
        <w:rPr>
          <w:rFonts w:hint="eastAsia" w:ascii="楷体" w:hAnsi="楷体" w:eastAsia="楷体" w:cs="楷体"/>
          <w:sz w:val="24"/>
          <w:szCs w:val="24"/>
        </w:rPr>
      </w:pPr>
      <w:r>
        <w:rPr>
          <w:rFonts w:hint="eastAsia" w:ascii="楷体" w:hAnsi="楷体" w:eastAsia="楷体" w:cs="楷体"/>
          <w:sz w:val="24"/>
          <w:szCs w:val="24"/>
        </w:rPr>
        <w:t>2007年中国石油上市发行价16块钱，发行市盈率22倍。二级市场开盘价48块钱，开盘市盈率66倍，比国际石油公司市盈率高出近5倍，由于开盘价严重的高估不可避免地走出长期下跌，最终跌去了90%！在中国广大投资者中留下了一句著名的：“问君能有几多愁，恰似满仓中石油！”</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ascii="楷体" w:hAnsi="楷体" w:eastAsia="楷体" w:cs="楷体"/>
          <w:sz w:val="24"/>
          <w:szCs w:val="24"/>
        </w:rPr>
      </w:pPr>
      <w:r>
        <w:drawing>
          <wp:inline distT="0" distB="0" distL="114300" distR="114300">
            <wp:extent cx="5728970" cy="2800350"/>
            <wp:effectExtent l="0" t="0" r="1270" b="381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6"/>
                    <a:stretch>
                      <a:fillRect/>
                    </a:stretch>
                  </pic:blipFill>
                  <pic:spPr>
                    <a:xfrm>
                      <a:off x="0" y="0"/>
                      <a:ext cx="5728970" cy="2800350"/>
                    </a:xfrm>
                    <a:prstGeom prst="rect">
                      <a:avLst/>
                    </a:prstGeom>
                    <a:noFill/>
                    <a:ln>
                      <a:noFill/>
                    </a:ln>
                  </pic:spPr>
                </pic:pic>
              </a:graphicData>
            </a:graphic>
          </wp:inline>
        </w:drawing>
      </w:r>
    </w:p>
    <w:p>
      <w:pPr>
        <w:adjustRightInd w:val="0"/>
        <w:spacing w:line="360" w:lineRule="auto"/>
        <w:ind w:firstLine="482" w:firstLineChars="200"/>
        <w:jc w:val="both"/>
        <w:rPr>
          <w:rFonts w:hint="eastAsia" w:ascii="楷体" w:hAnsi="楷体" w:eastAsia="楷体" w:cs="楷体"/>
          <w:b/>
          <w:bCs/>
          <w:sz w:val="24"/>
          <w:szCs w:val="24"/>
        </w:rPr>
      </w:pPr>
      <w:r>
        <w:rPr>
          <w:rFonts w:hint="eastAsia" w:ascii="楷体" w:hAnsi="楷体" w:eastAsia="楷体" w:cs="楷体"/>
          <w:b/>
          <w:bCs/>
          <w:sz w:val="24"/>
          <w:szCs w:val="24"/>
        </w:rPr>
        <w:t>中石油高价开盘背后受益者不是上市公司，也不是上市公司的大股东。是那些能够凭借新股发行制度，获得大量原始股的有新股发行询价定价权的机构投资者！根据市场公开数据，2021、2022、2023年9月之前，中国资本市场上以发行价计算共发行了1.4万亿的新股，这1.4万亿的新股进入二级市场交易的开盘价整体涨了100%以上，以交易开盘价计算已经变成了3万亿市值，多出来的那1.5万亿，进入享受政策优惠可以以发行价获得大量原始股机构投资者的腰包！上市公司发行股票所拿到的融资，比这些参与申购新股的机构还要少。</w:t>
      </w:r>
    </w:p>
    <w:p>
      <w:pPr>
        <w:adjustRightInd w:val="0"/>
        <w:spacing w:line="360" w:lineRule="auto"/>
        <w:ind w:firstLine="482" w:firstLineChars="200"/>
        <w:jc w:val="both"/>
        <w:rPr>
          <w:rFonts w:ascii="楷体" w:hAnsi="楷体" w:eastAsia="楷体" w:cs="楷体"/>
          <w:b/>
          <w:bCs/>
          <w:sz w:val="24"/>
          <w:szCs w:val="24"/>
        </w:rPr>
      </w:pPr>
      <w:r>
        <w:rPr>
          <w:rFonts w:hint="eastAsia" w:ascii="楷体" w:hAnsi="楷体" w:eastAsia="楷体" w:cs="楷体"/>
          <w:b/>
          <w:bCs/>
          <w:sz w:val="24"/>
          <w:szCs w:val="24"/>
        </w:rPr>
        <w:t>一个公司的内在价值不可能在发行完成一个月时间发生一倍以上增长，然而IPO完成后二级市场的新股开盘交易价短期内会普遍</w:t>
      </w:r>
      <w:r>
        <w:rPr>
          <w:rFonts w:hint="eastAsia" w:ascii="楷体" w:hAnsi="楷体" w:eastAsia="楷体" w:cs="楷体"/>
          <w:b/>
          <w:bCs/>
          <w:sz w:val="24"/>
          <w:szCs w:val="24"/>
          <w:lang w:eastAsia="zh-CN"/>
        </w:rPr>
        <w:t>地</w:t>
      </w:r>
      <w:r>
        <w:rPr>
          <w:rFonts w:hint="eastAsia" w:ascii="楷体" w:hAnsi="楷体" w:eastAsia="楷体" w:cs="楷体"/>
          <w:b/>
          <w:bCs/>
          <w:sz w:val="24"/>
          <w:szCs w:val="24"/>
        </w:rPr>
        <w:t xml:space="preserve">比发行价涨一到几倍，倍增的利润来源于二级市场的投资者，是二级市场投资者的损失，二级市场投资者的损失变成了可以以发行价获得大量原始股机构投资者的利润！ </w:t>
      </w:r>
    </w:p>
    <w:p>
      <w:pPr>
        <w:adjustRightInd w:val="0"/>
        <w:spacing w:line="360" w:lineRule="auto"/>
        <w:ind w:firstLine="480" w:firstLineChars="200"/>
        <w:jc w:val="both"/>
        <w:rPr>
          <w:rFonts w:hint="eastAsia" w:ascii="楷体" w:hAnsi="楷体" w:eastAsia="楷体" w:cs="楷体"/>
          <w:b w:val="0"/>
          <w:bCs w:val="0"/>
          <w:color w:val="FF0000"/>
          <w:sz w:val="24"/>
          <w:szCs w:val="24"/>
          <w:lang w:eastAsia="zh-CN"/>
        </w:rPr>
      </w:pPr>
      <w:r>
        <w:rPr>
          <w:rFonts w:hint="eastAsia" w:ascii="楷体" w:hAnsi="楷体" w:eastAsia="楷体" w:cs="楷体"/>
          <w:b w:val="0"/>
          <w:bCs w:val="0"/>
          <w:color w:val="FF0000"/>
          <w:sz w:val="24"/>
          <w:szCs w:val="24"/>
          <w:lang w:eastAsia="zh-CN"/>
        </w:rPr>
        <w:t>需要</w:t>
      </w:r>
      <w:r>
        <w:rPr>
          <w:rFonts w:hint="eastAsia" w:ascii="楷体" w:hAnsi="楷体" w:eastAsia="楷体" w:cs="楷体"/>
          <w:b w:val="0"/>
          <w:bCs w:val="0"/>
          <w:color w:val="FF0000"/>
          <w:sz w:val="24"/>
          <w:szCs w:val="24"/>
          <w:lang w:val="en-US" w:eastAsia="zh-CN"/>
        </w:rPr>
        <w:t>重点指出的</w:t>
      </w:r>
      <w:r>
        <w:rPr>
          <w:rFonts w:hint="eastAsia" w:ascii="楷体" w:hAnsi="楷体" w:eastAsia="楷体" w:cs="楷体"/>
          <w:b w:val="0"/>
          <w:bCs w:val="0"/>
          <w:color w:val="FF0000"/>
          <w:sz w:val="24"/>
          <w:szCs w:val="24"/>
          <w:lang w:eastAsia="zh-CN"/>
        </w:rPr>
        <w:t>是</w:t>
      </w:r>
      <w:r>
        <w:rPr>
          <w:rFonts w:hint="eastAsia" w:ascii="楷体" w:hAnsi="楷体" w:eastAsia="楷体" w:cs="楷体"/>
          <w:b w:val="0"/>
          <w:bCs w:val="0"/>
          <w:color w:val="FF0000"/>
          <w:sz w:val="24"/>
          <w:szCs w:val="24"/>
          <w:lang w:val="en-US" w:eastAsia="zh-CN"/>
        </w:rPr>
        <w:t>在</w:t>
      </w:r>
      <w:r>
        <w:rPr>
          <w:rFonts w:hint="eastAsia" w:ascii="楷体" w:hAnsi="楷体" w:eastAsia="楷体" w:cs="楷体"/>
          <w:b w:val="0"/>
          <w:bCs w:val="0"/>
          <w:color w:val="FF0000"/>
          <w:sz w:val="24"/>
          <w:szCs w:val="24"/>
          <w:lang w:eastAsia="zh-CN"/>
        </w:rPr>
        <w:t>中国股市二级市场买入</w:t>
      </w:r>
      <w:r>
        <w:rPr>
          <w:rFonts w:hint="eastAsia" w:ascii="楷体" w:hAnsi="楷体" w:eastAsia="楷体" w:cs="楷体"/>
          <w:b w:val="0"/>
          <w:bCs w:val="0"/>
          <w:color w:val="FF0000"/>
          <w:sz w:val="24"/>
          <w:szCs w:val="24"/>
          <w:lang w:val="en-US" w:eastAsia="zh-CN"/>
        </w:rPr>
        <w:t>新股</w:t>
      </w:r>
      <w:r>
        <w:rPr>
          <w:rFonts w:hint="eastAsia" w:ascii="楷体" w:hAnsi="楷体" w:eastAsia="楷体" w:cs="楷体"/>
          <w:b w:val="0"/>
          <w:bCs w:val="0"/>
          <w:color w:val="FF0000"/>
          <w:sz w:val="24"/>
          <w:szCs w:val="24"/>
          <w:lang w:eastAsia="zh-CN"/>
        </w:rPr>
        <w:t>的投资者，</w:t>
      </w:r>
      <w:r>
        <w:rPr>
          <w:rFonts w:hint="eastAsia" w:ascii="楷体" w:hAnsi="楷体" w:eastAsia="楷体" w:cs="楷体"/>
          <w:b w:val="0"/>
          <w:bCs w:val="0"/>
          <w:color w:val="FF0000"/>
          <w:sz w:val="24"/>
          <w:szCs w:val="24"/>
          <w:lang w:val="en-US" w:eastAsia="zh-CN"/>
        </w:rPr>
        <w:t>其状况是</w:t>
      </w:r>
      <w:r>
        <w:rPr>
          <w:rFonts w:hint="eastAsia" w:ascii="楷体" w:hAnsi="楷体" w:eastAsia="楷体" w:cs="楷体"/>
          <w:b w:val="0"/>
          <w:bCs w:val="0"/>
          <w:color w:val="FF0000"/>
          <w:sz w:val="24"/>
          <w:szCs w:val="24"/>
          <w:lang w:eastAsia="zh-CN"/>
        </w:rPr>
        <w:t>规律性、必然的、稳定的</w:t>
      </w:r>
      <w:r>
        <w:rPr>
          <w:rFonts w:hint="eastAsia" w:ascii="楷体" w:hAnsi="楷体" w:eastAsia="楷体" w:cs="楷体"/>
          <w:b w:val="0"/>
          <w:bCs w:val="0"/>
          <w:color w:val="FF0000"/>
          <w:sz w:val="24"/>
          <w:szCs w:val="24"/>
          <w:lang w:val="en-US" w:eastAsia="zh-CN"/>
        </w:rPr>
        <w:t>巨额</w:t>
      </w:r>
      <w:r>
        <w:rPr>
          <w:rFonts w:hint="eastAsia" w:ascii="楷体" w:hAnsi="楷体" w:eastAsia="楷体" w:cs="楷体"/>
          <w:b w:val="0"/>
          <w:bCs w:val="0"/>
          <w:color w:val="FF0000"/>
          <w:sz w:val="24"/>
          <w:szCs w:val="24"/>
          <w:lang w:eastAsia="zh-CN"/>
        </w:rPr>
        <w:t>亏损，</w:t>
      </w:r>
      <w:r>
        <w:rPr>
          <w:rFonts w:hint="eastAsia" w:ascii="楷体" w:hAnsi="楷体" w:eastAsia="楷体" w:cs="楷体"/>
          <w:b w:val="0"/>
          <w:bCs w:val="0"/>
          <w:color w:val="FF0000"/>
          <w:sz w:val="24"/>
          <w:szCs w:val="24"/>
          <w:lang w:val="en-US" w:eastAsia="zh-CN"/>
        </w:rPr>
        <w:t>此状况数</w:t>
      </w:r>
      <w:r>
        <w:rPr>
          <w:rFonts w:hint="eastAsia" w:ascii="楷体" w:hAnsi="楷体" w:eastAsia="楷体" w:cs="楷体"/>
          <w:b w:val="0"/>
          <w:bCs w:val="0"/>
          <w:color w:val="FF0000"/>
          <w:sz w:val="24"/>
          <w:szCs w:val="24"/>
          <w:lang w:eastAsia="zh-CN"/>
        </w:rPr>
        <w:t>十年</w:t>
      </w:r>
      <w:r>
        <w:rPr>
          <w:rFonts w:hint="eastAsia" w:ascii="楷体" w:hAnsi="楷体" w:eastAsia="楷体" w:cs="楷体"/>
          <w:b w:val="0"/>
          <w:bCs w:val="0"/>
          <w:color w:val="FF0000"/>
          <w:sz w:val="24"/>
          <w:szCs w:val="24"/>
          <w:lang w:val="en-US" w:eastAsia="zh-CN"/>
        </w:rPr>
        <w:t>如一日地</w:t>
      </w:r>
      <w:r>
        <w:rPr>
          <w:rFonts w:hint="eastAsia" w:ascii="楷体" w:hAnsi="楷体" w:eastAsia="楷体" w:cs="楷体"/>
          <w:b w:val="0"/>
          <w:bCs w:val="0"/>
          <w:color w:val="FF0000"/>
          <w:sz w:val="24"/>
          <w:szCs w:val="24"/>
          <w:lang w:eastAsia="zh-CN"/>
        </w:rPr>
        <w:t>存续着。那些在二级市场买入新股的投资人，</w:t>
      </w:r>
      <w:r>
        <w:rPr>
          <w:rFonts w:hint="eastAsia" w:ascii="楷体" w:hAnsi="楷体" w:eastAsia="楷体" w:cs="楷体"/>
          <w:b w:val="0"/>
          <w:bCs w:val="0"/>
          <w:color w:val="FF0000"/>
          <w:sz w:val="24"/>
          <w:szCs w:val="24"/>
          <w:lang w:val="en-US" w:eastAsia="zh-CN"/>
        </w:rPr>
        <w:t>也竟然</w:t>
      </w:r>
      <w:r>
        <w:rPr>
          <w:rFonts w:hint="eastAsia" w:ascii="楷体" w:hAnsi="楷体" w:eastAsia="楷体" w:cs="楷体"/>
          <w:b w:val="0"/>
          <w:bCs w:val="0"/>
          <w:color w:val="FF0000"/>
          <w:sz w:val="24"/>
          <w:szCs w:val="24"/>
          <w:lang w:eastAsia="zh-CN"/>
        </w:rPr>
        <w:t>飞蛾扑火，一直不回避这个能让他们倾家荡产的</w:t>
      </w:r>
      <w:r>
        <w:rPr>
          <w:rFonts w:hint="eastAsia" w:ascii="楷体" w:hAnsi="楷体" w:eastAsia="楷体" w:cs="楷体"/>
          <w:b w:val="0"/>
          <w:bCs w:val="0"/>
          <w:color w:val="FF0000"/>
          <w:sz w:val="24"/>
          <w:szCs w:val="24"/>
          <w:lang w:val="en-US" w:eastAsia="zh-CN"/>
        </w:rPr>
        <w:t>高风险动作</w:t>
      </w:r>
      <w:r>
        <w:rPr>
          <w:rFonts w:hint="eastAsia" w:ascii="楷体" w:hAnsi="楷体" w:eastAsia="楷体" w:cs="楷体"/>
          <w:b w:val="0"/>
          <w:bCs w:val="0"/>
          <w:color w:val="FF0000"/>
          <w:sz w:val="24"/>
          <w:szCs w:val="24"/>
          <w:lang w:eastAsia="zh-CN"/>
        </w:rPr>
        <w:t>。人作为一种动物，有一种趋利避害的本能，如果参加</w:t>
      </w:r>
      <w:r>
        <w:rPr>
          <w:rFonts w:hint="eastAsia" w:ascii="楷体" w:hAnsi="楷体" w:eastAsia="楷体" w:cs="楷体"/>
          <w:b w:val="0"/>
          <w:bCs w:val="0"/>
          <w:color w:val="FF0000"/>
          <w:sz w:val="24"/>
          <w:szCs w:val="24"/>
          <w:lang w:val="en-US" w:eastAsia="zh-CN"/>
        </w:rPr>
        <w:t>某一事务</w:t>
      </w:r>
      <w:r>
        <w:rPr>
          <w:rFonts w:hint="eastAsia" w:ascii="楷体" w:hAnsi="楷体" w:eastAsia="楷体" w:cs="楷体"/>
          <w:b w:val="0"/>
          <w:bCs w:val="0"/>
          <w:color w:val="FF0000"/>
          <w:sz w:val="24"/>
          <w:szCs w:val="24"/>
          <w:lang w:eastAsia="zh-CN"/>
        </w:rPr>
        <w:t>长期稳定地</w:t>
      </w:r>
      <w:r>
        <w:rPr>
          <w:rFonts w:hint="eastAsia" w:ascii="楷体" w:hAnsi="楷体" w:eastAsia="楷体" w:cs="楷体"/>
          <w:b w:val="0"/>
          <w:bCs w:val="0"/>
          <w:color w:val="FF0000"/>
          <w:sz w:val="24"/>
          <w:szCs w:val="24"/>
          <w:lang w:val="en-US" w:eastAsia="zh-CN"/>
        </w:rPr>
        <w:t>成为</w:t>
      </w:r>
      <w:r>
        <w:rPr>
          <w:rFonts w:hint="eastAsia" w:ascii="楷体" w:hAnsi="楷体" w:eastAsia="楷体" w:cs="楷体"/>
          <w:b w:val="0"/>
          <w:bCs w:val="0"/>
          <w:color w:val="FF0000"/>
          <w:sz w:val="24"/>
          <w:szCs w:val="24"/>
          <w:lang w:eastAsia="zh-CN"/>
        </w:rPr>
        <w:t>受损方，人在趋利避害的本能作用下</w:t>
      </w:r>
      <w:r>
        <w:rPr>
          <w:rFonts w:hint="eastAsia" w:ascii="楷体" w:hAnsi="楷体" w:eastAsia="楷体" w:cs="楷体"/>
          <w:b w:val="0"/>
          <w:bCs w:val="0"/>
          <w:color w:val="FF0000"/>
          <w:sz w:val="24"/>
          <w:szCs w:val="24"/>
          <w:lang w:val="en-US" w:eastAsia="zh-CN"/>
        </w:rPr>
        <w:t>往往会不</w:t>
      </w:r>
      <w:r>
        <w:rPr>
          <w:rFonts w:hint="eastAsia" w:ascii="楷体" w:hAnsi="楷体" w:eastAsia="楷体" w:cs="楷体"/>
          <w:b w:val="0"/>
          <w:bCs w:val="0"/>
          <w:color w:val="FF0000"/>
          <w:sz w:val="24"/>
          <w:szCs w:val="24"/>
          <w:lang w:eastAsia="zh-CN"/>
        </w:rPr>
        <w:t>参加这个游戏了，这</w:t>
      </w:r>
      <w:r>
        <w:rPr>
          <w:rFonts w:hint="eastAsia" w:ascii="楷体" w:hAnsi="楷体" w:eastAsia="楷体" w:cs="楷体"/>
          <w:b w:val="0"/>
          <w:bCs w:val="0"/>
          <w:color w:val="FF0000"/>
          <w:sz w:val="24"/>
          <w:szCs w:val="24"/>
          <w:lang w:val="en-US" w:eastAsia="zh-CN"/>
        </w:rPr>
        <w:t>才是</w:t>
      </w:r>
      <w:r>
        <w:rPr>
          <w:rFonts w:hint="eastAsia" w:ascii="楷体" w:hAnsi="楷体" w:eastAsia="楷体" w:cs="楷体"/>
          <w:b w:val="0"/>
          <w:bCs w:val="0"/>
          <w:color w:val="FF0000"/>
          <w:sz w:val="24"/>
          <w:szCs w:val="24"/>
          <w:lang w:eastAsia="zh-CN"/>
        </w:rPr>
        <w:t>一种正常的人性反应，</w:t>
      </w:r>
      <w:r>
        <w:rPr>
          <w:rFonts w:hint="eastAsia" w:ascii="楷体" w:hAnsi="楷体" w:eastAsia="楷体" w:cs="楷体"/>
          <w:b w:val="0"/>
          <w:bCs w:val="0"/>
          <w:color w:val="FF0000"/>
          <w:sz w:val="24"/>
          <w:szCs w:val="24"/>
          <w:lang w:val="en-US" w:eastAsia="zh-CN"/>
        </w:rPr>
        <w:t>就连</w:t>
      </w:r>
      <w:r>
        <w:rPr>
          <w:rFonts w:hint="eastAsia" w:ascii="楷体" w:hAnsi="楷体" w:eastAsia="楷体" w:cs="楷体"/>
          <w:b w:val="0"/>
          <w:bCs w:val="0"/>
          <w:color w:val="FF0000"/>
          <w:sz w:val="24"/>
          <w:szCs w:val="24"/>
          <w:lang w:eastAsia="zh-CN"/>
        </w:rPr>
        <w:t>动物也是这样的。如果一个宠物狗被一个人见面就</w:t>
      </w:r>
      <w:r>
        <w:rPr>
          <w:rFonts w:hint="eastAsia" w:ascii="楷体" w:hAnsi="楷体" w:eastAsia="楷体" w:cs="楷体"/>
          <w:b w:val="0"/>
          <w:bCs w:val="0"/>
          <w:color w:val="FF0000"/>
          <w:sz w:val="24"/>
          <w:szCs w:val="24"/>
          <w:lang w:val="en-US" w:eastAsia="zh-CN"/>
        </w:rPr>
        <w:t>会</w:t>
      </w:r>
      <w:r>
        <w:rPr>
          <w:rFonts w:hint="eastAsia" w:ascii="楷体" w:hAnsi="楷体" w:eastAsia="楷体" w:cs="楷体"/>
          <w:b w:val="0"/>
          <w:bCs w:val="0"/>
          <w:color w:val="FF0000"/>
          <w:sz w:val="24"/>
          <w:szCs w:val="24"/>
          <w:lang w:eastAsia="zh-CN"/>
        </w:rPr>
        <w:t>打一鞭子，那么这个宠物狗被连续打几次以后就会远离这个人，包括</w:t>
      </w:r>
      <w:r>
        <w:rPr>
          <w:rFonts w:hint="eastAsia" w:ascii="楷体" w:hAnsi="楷体" w:eastAsia="楷体" w:cs="楷体"/>
          <w:b w:val="0"/>
          <w:bCs w:val="0"/>
          <w:color w:val="FF0000"/>
          <w:sz w:val="24"/>
          <w:szCs w:val="24"/>
          <w:lang w:val="en-US" w:eastAsia="zh-CN"/>
        </w:rPr>
        <w:t>人类还利用这一原则发明出了电击围栏。</w:t>
      </w:r>
      <w:r>
        <w:rPr>
          <w:rFonts w:hint="eastAsia" w:ascii="楷体" w:hAnsi="楷体" w:eastAsia="楷体" w:cs="楷体"/>
          <w:b w:val="0"/>
          <w:bCs w:val="0"/>
          <w:color w:val="FF0000"/>
          <w:sz w:val="24"/>
          <w:szCs w:val="24"/>
          <w:lang w:eastAsia="zh-CN"/>
        </w:rPr>
        <w:t>但是我们看在中国</w:t>
      </w:r>
      <w:r>
        <w:rPr>
          <w:rFonts w:hint="eastAsia" w:ascii="楷体" w:hAnsi="楷体" w:eastAsia="楷体" w:cs="楷体"/>
          <w:b w:val="0"/>
          <w:bCs w:val="0"/>
          <w:color w:val="FF0000"/>
          <w:sz w:val="24"/>
          <w:szCs w:val="24"/>
          <w:lang w:val="en-US" w:eastAsia="zh-CN"/>
        </w:rPr>
        <w:t>股市中的</w:t>
      </w:r>
      <w:r>
        <w:rPr>
          <w:rFonts w:hint="eastAsia" w:ascii="楷体" w:hAnsi="楷体" w:eastAsia="楷体" w:cs="楷体"/>
          <w:b w:val="0"/>
          <w:bCs w:val="0"/>
          <w:color w:val="FF0000"/>
          <w:sz w:val="24"/>
          <w:szCs w:val="24"/>
          <w:lang w:eastAsia="zh-CN"/>
        </w:rPr>
        <w:t>投资者，</w:t>
      </w:r>
      <w:r>
        <w:rPr>
          <w:rFonts w:hint="eastAsia" w:ascii="楷体" w:hAnsi="楷体" w:eastAsia="楷体" w:cs="楷体"/>
          <w:b w:val="0"/>
          <w:bCs w:val="0"/>
          <w:color w:val="FF0000"/>
          <w:sz w:val="24"/>
          <w:szCs w:val="24"/>
          <w:lang w:val="en-US" w:eastAsia="zh-CN"/>
        </w:rPr>
        <w:t>在长时间内屡次</w:t>
      </w:r>
      <w:r>
        <w:rPr>
          <w:rFonts w:hint="eastAsia" w:ascii="楷体" w:hAnsi="楷体" w:eastAsia="楷体" w:cs="楷体"/>
          <w:b w:val="0"/>
          <w:bCs w:val="0"/>
          <w:color w:val="FF0000"/>
          <w:sz w:val="24"/>
          <w:szCs w:val="24"/>
          <w:lang w:eastAsia="zh-CN"/>
        </w:rPr>
        <w:t>买入新股后必定巨额亏损的事实面前</w:t>
      </w:r>
      <w:r>
        <w:rPr>
          <w:rFonts w:hint="eastAsia" w:ascii="楷体" w:hAnsi="楷体" w:eastAsia="楷体" w:cs="楷体"/>
          <w:b w:val="0"/>
          <w:bCs w:val="0"/>
          <w:color w:val="FF0000"/>
          <w:sz w:val="24"/>
          <w:szCs w:val="24"/>
          <w:lang w:val="en-US" w:eastAsia="zh-CN"/>
        </w:rPr>
        <w:t>却</w:t>
      </w:r>
      <w:r>
        <w:rPr>
          <w:rFonts w:hint="eastAsia" w:ascii="楷体" w:hAnsi="楷体" w:eastAsia="楷体" w:cs="楷体"/>
          <w:b w:val="0"/>
          <w:bCs w:val="0"/>
          <w:color w:val="FF0000"/>
          <w:sz w:val="24"/>
          <w:szCs w:val="24"/>
          <w:lang w:eastAsia="zh-CN"/>
        </w:rPr>
        <w:t>几十年如一日地不规避这个风险，</w:t>
      </w:r>
      <w:r>
        <w:rPr>
          <w:rFonts w:hint="eastAsia" w:ascii="楷体" w:hAnsi="楷体" w:eastAsia="楷体" w:cs="楷体"/>
          <w:b w:val="0"/>
          <w:bCs w:val="0"/>
          <w:color w:val="FF0000"/>
          <w:sz w:val="24"/>
          <w:szCs w:val="24"/>
          <w:lang w:val="en-US" w:eastAsia="zh-CN"/>
        </w:rPr>
        <w:t>此种</w:t>
      </w:r>
      <w:r>
        <w:rPr>
          <w:rFonts w:hint="eastAsia" w:ascii="楷体" w:hAnsi="楷体" w:eastAsia="楷体" w:cs="楷体"/>
          <w:b w:val="0"/>
          <w:bCs w:val="0"/>
          <w:color w:val="FF0000"/>
          <w:sz w:val="24"/>
          <w:szCs w:val="24"/>
          <w:lang w:eastAsia="zh-CN"/>
        </w:rPr>
        <w:t>表现是人的趋利避害的本能丧失了，这种奇怪的现象是违反常识。</w:t>
      </w:r>
    </w:p>
    <w:p>
      <w:pPr>
        <w:adjustRightInd w:val="0"/>
        <w:spacing w:line="360" w:lineRule="auto"/>
        <w:ind w:firstLine="480" w:firstLineChars="200"/>
        <w:jc w:val="both"/>
        <w:rPr>
          <w:rFonts w:hint="eastAsia" w:ascii="楷体" w:hAnsi="楷体" w:eastAsia="宋体" w:cs="楷体"/>
          <w:b/>
          <w:bCs/>
          <w:color w:val="FF0000"/>
          <w:sz w:val="24"/>
          <w:szCs w:val="24"/>
          <w:lang w:eastAsia="zh-CN"/>
        </w:rPr>
      </w:pPr>
      <w:r>
        <w:rPr>
          <w:rFonts w:hint="eastAsia" w:ascii="楷体" w:hAnsi="楷体" w:eastAsia="楷体" w:cs="楷体"/>
          <w:b w:val="0"/>
          <w:bCs w:val="0"/>
          <w:color w:val="FF0000"/>
          <w:sz w:val="24"/>
          <w:szCs w:val="24"/>
          <w:lang w:val="en-US" w:eastAsia="zh-CN"/>
        </w:rPr>
        <w:t xml:space="preserve"> 当</w:t>
      </w:r>
      <w:r>
        <w:rPr>
          <w:rFonts w:hint="eastAsia" w:ascii="楷体" w:hAnsi="楷体" w:eastAsia="楷体" w:cs="楷体"/>
          <w:b w:val="0"/>
          <w:bCs w:val="0"/>
          <w:color w:val="FF0000"/>
          <w:sz w:val="24"/>
          <w:szCs w:val="24"/>
        </w:rPr>
        <w:t>一个股票开盘价涨了200%，</w:t>
      </w:r>
      <w:r>
        <w:rPr>
          <w:rFonts w:hint="eastAsia" w:ascii="楷体" w:hAnsi="楷体" w:eastAsia="楷体" w:cs="楷体"/>
          <w:b w:val="0"/>
          <w:bCs w:val="0"/>
          <w:color w:val="FF0000"/>
          <w:sz w:val="24"/>
          <w:szCs w:val="24"/>
          <w:lang w:val="en-US" w:eastAsia="zh-CN"/>
        </w:rPr>
        <w:t>没有经验的投资者</w:t>
      </w:r>
      <w:r>
        <w:rPr>
          <w:rFonts w:hint="eastAsia" w:ascii="楷体" w:hAnsi="楷体" w:eastAsia="楷体" w:cs="楷体"/>
          <w:b w:val="0"/>
          <w:bCs w:val="0"/>
          <w:color w:val="FF0000"/>
          <w:sz w:val="24"/>
          <w:szCs w:val="24"/>
        </w:rPr>
        <w:t>买入</w:t>
      </w:r>
      <w:r>
        <w:rPr>
          <w:rFonts w:hint="eastAsia" w:ascii="楷体" w:hAnsi="楷体" w:eastAsia="楷体" w:cs="楷体"/>
          <w:b w:val="0"/>
          <w:bCs w:val="0"/>
          <w:color w:val="FF0000"/>
          <w:sz w:val="24"/>
          <w:szCs w:val="24"/>
          <w:lang w:val="en-US" w:eastAsia="zh-CN"/>
        </w:rPr>
        <w:t>后</w:t>
      </w:r>
      <w:r>
        <w:rPr>
          <w:rFonts w:hint="eastAsia" w:ascii="楷体" w:hAnsi="楷体" w:eastAsia="楷体" w:cs="楷体"/>
          <w:b w:val="0"/>
          <w:bCs w:val="0"/>
          <w:color w:val="FF0000"/>
          <w:sz w:val="24"/>
          <w:szCs w:val="24"/>
        </w:rPr>
        <w:t>赔了，第</w:t>
      </w:r>
      <w:r>
        <w:rPr>
          <w:rFonts w:hint="eastAsia" w:ascii="楷体" w:hAnsi="楷体" w:eastAsia="楷体" w:cs="楷体"/>
          <w:b w:val="0"/>
          <w:bCs w:val="0"/>
          <w:color w:val="FF0000"/>
          <w:sz w:val="24"/>
          <w:szCs w:val="24"/>
          <w:lang w:val="en-US" w:eastAsia="zh-CN"/>
        </w:rPr>
        <w:t>二</w:t>
      </w:r>
      <w:r>
        <w:rPr>
          <w:rFonts w:hint="eastAsia" w:ascii="楷体" w:hAnsi="楷体" w:eastAsia="楷体" w:cs="楷体"/>
          <w:b w:val="0"/>
          <w:bCs w:val="0"/>
          <w:color w:val="FF0000"/>
          <w:sz w:val="24"/>
          <w:szCs w:val="24"/>
        </w:rPr>
        <w:t>次</w:t>
      </w:r>
      <w:r>
        <w:rPr>
          <w:rFonts w:hint="eastAsia" w:ascii="楷体" w:hAnsi="楷体" w:eastAsia="楷体" w:cs="楷体"/>
          <w:b w:val="0"/>
          <w:bCs w:val="0"/>
          <w:color w:val="FF0000"/>
          <w:sz w:val="24"/>
          <w:szCs w:val="24"/>
          <w:lang w:eastAsia="zh-CN"/>
        </w:rPr>
        <w:t>另一个股票开盘价又涨了</w:t>
      </w:r>
      <w:r>
        <w:rPr>
          <w:rFonts w:hint="eastAsia" w:ascii="楷体" w:hAnsi="楷体" w:eastAsia="楷体" w:cs="楷体"/>
          <w:b w:val="0"/>
          <w:bCs w:val="0"/>
          <w:color w:val="FF0000"/>
          <w:sz w:val="24"/>
          <w:szCs w:val="24"/>
          <w:lang w:val="en-US" w:eastAsia="zh-CN"/>
        </w:rPr>
        <w:t>200%。上一次的经验教训让</w:t>
      </w:r>
      <w:r>
        <w:rPr>
          <w:rFonts w:hint="eastAsia" w:ascii="楷体" w:hAnsi="楷体" w:eastAsia="楷体" w:cs="楷体"/>
          <w:b w:val="0"/>
          <w:bCs w:val="0"/>
          <w:color w:val="FF0000"/>
          <w:sz w:val="24"/>
          <w:szCs w:val="24"/>
        </w:rPr>
        <w:t>买入的人少了，</w:t>
      </w:r>
      <w:r>
        <w:rPr>
          <w:rFonts w:hint="eastAsia" w:ascii="楷体" w:hAnsi="楷体" w:eastAsia="楷体" w:cs="楷体"/>
          <w:b w:val="0"/>
          <w:bCs w:val="0"/>
          <w:color w:val="FF0000"/>
          <w:sz w:val="24"/>
          <w:szCs w:val="24"/>
          <w:lang w:eastAsia="zh-CN"/>
        </w:rPr>
        <w:t>如此循环</w:t>
      </w:r>
      <w:r>
        <w:rPr>
          <w:rFonts w:hint="eastAsia" w:ascii="楷体" w:hAnsi="楷体" w:eastAsia="楷体" w:cs="楷体"/>
          <w:b w:val="0"/>
          <w:bCs w:val="0"/>
          <w:color w:val="FF0000"/>
          <w:sz w:val="24"/>
          <w:szCs w:val="24"/>
        </w:rPr>
        <w:t>到第</w:t>
      </w:r>
      <w:r>
        <w:rPr>
          <w:rFonts w:hint="eastAsia" w:ascii="楷体" w:hAnsi="楷体" w:eastAsia="楷体" w:cs="楷体"/>
          <w:b w:val="0"/>
          <w:bCs w:val="0"/>
          <w:color w:val="FF0000"/>
          <w:sz w:val="24"/>
          <w:szCs w:val="24"/>
          <w:lang w:val="en-US" w:eastAsia="zh-CN"/>
        </w:rPr>
        <w:t>三十</w:t>
      </w:r>
      <w:r>
        <w:rPr>
          <w:rFonts w:hint="eastAsia" w:ascii="楷体" w:hAnsi="楷体" w:eastAsia="楷体" w:cs="楷体"/>
          <w:b w:val="0"/>
          <w:bCs w:val="0"/>
          <w:color w:val="FF0000"/>
          <w:sz w:val="24"/>
          <w:szCs w:val="24"/>
        </w:rPr>
        <w:t>次</w:t>
      </w:r>
      <w:r>
        <w:rPr>
          <w:rFonts w:hint="eastAsia" w:ascii="楷体" w:hAnsi="楷体" w:eastAsia="楷体" w:cs="楷体"/>
          <w:b w:val="0"/>
          <w:bCs w:val="0"/>
          <w:color w:val="FF0000"/>
          <w:sz w:val="24"/>
          <w:szCs w:val="24"/>
          <w:lang w:eastAsia="zh-CN"/>
        </w:rPr>
        <w:t>一个股票开盘价又涨了</w:t>
      </w:r>
      <w:r>
        <w:rPr>
          <w:rFonts w:hint="eastAsia" w:ascii="楷体" w:hAnsi="楷体" w:eastAsia="楷体" w:cs="楷体"/>
          <w:b w:val="0"/>
          <w:bCs w:val="0"/>
          <w:color w:val="FF0000"/>
          <w:sz w:val="24"/>
          <w:szCs w:val="24"/>
          <w:lang w:val="en-US" w:eastAsia="zh-CN"/>
        </w:rPr>
        <w:t>200%</w:t>
      </w:r>
      <w:r>
        <w:rPr>
          <w:rFonts w:hint="eastAsia" w:ascii="楷体" w:hAnsi="楷体" w:eastAsia="楷体" w:cs="楷体"/>
          <w:b w:val="0"/>
          <w:bCs w:val="0"/>
          <w:color w:val="FF0000"/>
          <w:sz w:val="24"/>
          <w:szCs w:val="24"/>
        </w:rPr>
        <w:t>的时候，</w:t>
      </w:r>
      <w:r>
        <w:rPr>
          <w:rFonts w:hint="eastAsia" w:ascii="楷体" w:hAnsi="楷体" w:eastAsia="楷体" w:cs="楷体"/>
          <w:b w:val="0"/>
          <w:bCs w:val="0"/>
          <w:color w:val="FF0000"/>
          <w:sz w:val="24"/>
          <w:szCs w:val="24"/>
          <w:lang w:val="en-US" w:eastAsia="zh-CN"/>
        </w:rPr>
        <w:t>由于</w:t>
      </w:r>
      <w:r>
        <w:rPr>
          <w:rFonts w:hint="eastAsia" w:ascii="楷体" w:hAnsi="楷体" w:eastAsia="楷体" w:cs="楷体"/>
          <w:b w:val="0"/>
          <w:bCs w:val="0"/>
          <w:color w:val="FF0000"/>
          <w:sz w:val="24"/>
          <w:szCs w:val="24"/>
        </w:rPr>
        <w:t>前</w:t>
      </w:r>
      <w:r>
        <w:rPr>
          <w:rFonts w:hint="eastAsia" w:ascii="楷体" w:hAnsi="楷体" w:eastAsia="楷体" w:cs="楷体"/>
          <w:b w:val="0"/>
          <w:bCs w:val="0"/>
          <w:color w:val="FF0000"/>
          <w:sz w:val="24"/>
          <w:szCs w:val="24"/>
          <w:lang w:val="en-US" w:eastAsia="zh-CN"/>
        </w:rPr>
        <w:t>三十</w:t>
      </w:r>
      <w:r>
        <w:rPr>
          <w:rFonts w:hint="eastAsia" w:ascii="楷体" w:hAnsi="楷体" w:eastAsia="楷体" w:cs="楷体"/>
          <w:b w:val="0"/>
          <w:bCs w:val="0"/>
          <w:color w:val="FF0000"/>
          <w:sz w:val="24"/>
          <w:szCs w:val="24"/>
        </w:rPr>
        <w:t>次</w:t>
      </w:r>
      <w:r>
        <w:rPr>
          <w:rFonts w:hint="eastAsia" w:ascii="楷体" w:hAnsi="楷体" w:eastAsia="楷体" w:cs="楷体"/>
          <w:b w:val="0"/>
          <w:bCs w:val="0"/>
          <w:color w:val="FF0000"/>
          <w:sz w:val="24"/>
          <w:szCs w:val="24"/>
          <w:lang w:eastAsia="zh-CN"/>
        </w:rPr>
        <w:t>买入的人都赔惨了</w:t>
      </w:r>
      <w:r>
        <w:rPr>
          <w:rFonts w:hint="eastAsia" w:ascii="楷体" w:hAnsi="楷体" w:eastAsia="楷体" w:cs="楷体"/>
          <w:b w:val="0"/>
          <w:bCs w:val="0"/>
          <w:color w:val="FF0000"/>
          <w:sz w:val="24"/>
          <w:szCs w:val="24"/>
        </w:rPr>
        <w:t>，</w:t>
      </w:r>
      <w:r>
        <w:rPr>
          <w:rFonts w:hint="eastAsia" w:ascii="楷体" w:hAnsi="楷体" w:eastAsia="楷体" w:cs="楷体"/>
          <w:b w:val="0"/>
          <w:bCs w:val="0"/>
          <w:color w:val="FF0000"/>
          <w:sz w:val="24"/>
          <w:szCs w:val="24"/>
          <w:lang w:eastAsia="zh-CN"/>
        </w:rPr>
        <w:t>在趋利避害本能的作用下，大体就没有人再买入这种高开盘涨</w:t>
      </w:r>
      <w:r>
        <w:rPr>
          <w:rFonts w:hint="eastAsia" w:ascii="楷体" w:hAnsi="楷体" w:eastAsia="楷体" w:cs="楷体"/>
          <w:b w:val="0"/>
          <w:bCs w:val="0"/>
          <w:color w:val="FF0000"/>
          <w:sz w:val="24"/>
          <w:szCs w:val="24"/>
          <w:lang w:val="en-US" w:eastAsia="zh-CN"/>
        </w:rPr>
        <w:t>200%的股票了。这是人性趋利避害本能所决定的合理状态，这也是一种市场机制，如果参与者稳定的持续的长期不挣钱，那么就没人参与了。</w:t>
      </w:r>
      <w:r>
        <w:rPr>
          <w:rFonts w:hint="eastAsia" w:ascii="楷体" w:hAnsi="楷体" w:eastAsia="楷体" w:cs="楷体"/>
          <w:b w:val="0"/>
          <w:bCs w:val="0"/>
          <w:color w:val="FF0000"/>
          <w:sz w:val="24"/>
          <w:szCs w:val="24"/>
        </w:rPr>
        <w:t>但是在中国资本市场竟然</w:t>
      </w:r>
      <w:r>
        <w:rPr>
          <w:rFonts w:hint="eastAsia" w:ascii="楷体" w:hAnsi="楷体" w:eastAsia="楷体" w:cs="楷体"/>
          <w:b w:val="0"/>
          <w:bCs w:val="0"/>
          <w:color w:val="FF0000"/>
          <w:sz w:val="24"/>
          <w:szCs w:val="24"/>
          <w:lang w:val="en-US" w:eastAsia="zh-CN"/>
        </w:rPr>
        <w:t>能将</w:t>
      </w:r>
      <w:r>
        <w:rPr>
          <w:rFonts w:hint="eastAsia" w:ascii="楷体" w:hAnsi="楷体" w:eastAsia="楷体" w:cs="楷体"/>
          <w:b w:val="0"/>
          <w:bCs w:val="0"/>
          <w:color w:val="FF0000"/>
          <w:sz w:val="24"/>
          <w:szCs w:val="24"/>
        </w:rPr>
        <w:t>几千次</w:t>
      </w:r>
      <w:r>
        <w:rPr>
          <w:rFonts w:hint="eastAsia" w:ascii="楷体" w:hAnsi="楷体" w:eastAsia="楷体" w:cs="楷体"/>
          <w:b w:val="0"/>
          <w:bCs w:val="0"/>
          <w:color w:val="FF0000"/>
          <w:sz w:val="24"/>
          <w:szCs w:val="24"/>
          <w:lang w:val="en-US" w:eastAsia="zh-CN"/>
        </w:rPr>
        <w:t>新股发行的交易</w:t>
      </w:r>
      <w:r>
        <w:rPr>
          <w:rFonts w:hint="eastAsia" w:ascii="楷体" w:hAnsi="楷体" w:eastAsia="楷体" w:cs="楷体"/>
          <w:b w:val="0"/>
          <w:bCs w:val="0"/>
          <w:color w:val="FF0000"/>
          <w:sz w:val="24"/>
          <w:szCs w:val="24"/>
          <w:lang w:eastAsia="zh-CN"/>
        </w:rPr>
        <w:t>开盘</w:t>
      </w:r>
      <w:r>
        <w:rPr>
          <w:rFonts w:hint="eastAsia" w:ascii="楷体" w:hAnsi="楷体" w:eastAsia="楷体" w:cs="楷体"/>
          <w:b w:val="0"/>
          <w:bCs w:val="0"/>
          <w:color w:val="FF0000"/>
          <w:sz w:val="24"/>
          <w:szCs w:val="24"/>
          <w:lang w:val="en-US" w:eastAsia="zh-CN"/>
        </w:rPr>
        <w:t>价稳定地</w:t>
      </w:r>
      <w:r>
        <w:rPr>
          <w:rFonts w:hint="eastAsia" w:ascii="楷体" w:hAnsi="楷体" w:eastAsia="楷体" w:cs="楷体"/>
          <w:b w:val="0"/>
          <w:bCs w:val="0"/>
          <w:color w:val="FF0000"/>
          <w:sz w:val="24"/>
          <w:szCs w:val="24"/>
          <w:lang w:eastAsia="zh-CN"/>
        </w:rPr>
        <w:t>涨</w:t>
      </w:r>
      <w:r>
        <w:rPr>
          <w:rFonts w:hint="eastAsia" w:ascii="楷体" w:hAnsi="楷体" w:eastAsia="楷体" w:cs="楷体"/>
          <w:b w:val="0"/>
          <w:bCs w:val="0"/>
          <w:color w:val="FF0000"/>
          <w:sz w:val="24"/>
          <w:szCs w:val="24"/>
          <w:lang w:val="en-US" w:eastAsia="zh-CN"/>
        </w:rPr>
        <w:t>200%左右，且每一次都有人去买，每一次都心甘情愿地遭受巨额亏损。这种违反人性趋利避害本能的现象，长期存在</w:t>
      </w:r>
      <w:r>
        <w:rPr>
          <w:rFonts w:hint="eastAsia" w:ascii="楷体" w:hAnsi="楷体" w:eastAsia="楷体" w:cs="楷体"/>
          <w:b w:val="0"/>
          <w:bCs w:val="0"/>
          <w:color w:val="FF0000"/>
          <w:sz w:val="24"/>
          <w:szCs w:val="24"/>
        </w:rPr>
        <w:t>它</w:t>
      </w:r>
      <w:r>
        <w:rPr>
          <w:rFonts w:hint="eastAsia" w:ascii="楷体" w:hAnsi="楷体" w:eastAsia="楷体" w:cs="楷体"/>
          <w:b w:val="0"/>
          <w:bCs w:val="0"/>
          <w:color w:val="FF0000"/>
          <w:sz w:val="24"/>
          <w:szCs w:val="24"/>
          <w:lang w:val="en-US" w:eastAsia="zh-CN"/>
        </w:rPr>
        <w:t>一定</w:t>
      </w:r>
      <w:r>
        <w:rPr>
          <w:rFonts w:hint="eastAsia" w:ascii="楷体" w:hAnsi="楷体" w:eastAsia="楷体" w:cs="楷体"/>
          <w:b w:val="0"/>
          <w:bCs w:val="0"/>
          <w:color w:val="FF0000"/>
          <w:sz w:val="24"/>
          <w:szCs w:val="24"/>
        </w:rPr>
        <w:t>不是自然现象，</w:t>
      </w:r>
      <w:r>
        <w:rPr>
          <w:rFonts w:hint="eastAsia" w:ascii="楷体" w:hAnsi="楷体" w:eastAsia="楷体" w:cs="楷体"/>
          <w:b w:val="0"/>
          <w:bCs w:val="0"/>
          <w:color w:val="FF0000"/>
          <w:sz w:val="24"/>
          <w:szCs w:val="24"/>
          <w:lang w:val="en-US" w:eastAsia="zh-CN"/>
        </w:rPr>
        <w:t>它一定</w:t>
      </w:r>
      <w:r>
        <w:rPr>
          <w:rFonts w:hint="eastAsia" w:ascii="楷体" w:hAnsi="楷体" w:eastAsia="楷体" w:cs="楷体"/>
          <w:b w:val="0"/>
          <w:bCs w:val="0"/>
          <w:color w:val="FF0000"/>
          <w:sz w:val="24"/>
          <w:szCs w:val="24"/>
        </w:rPr>
        <w:t>有人操纵，如果没有人操纵</w:t>
      </w:r>
      <w:r>
        <w:rPr>
          <w:rFonts w:hint="eastAsia" w:ascii="楷体" w:hAnsi="楷体" w:eastAsia="楷体" w:cs="楷体"/>
          <w:b w:val="0"/>
          <w:bCs w:val="0"/>
          <w:color w:val="FF0000"/>
          <w:sz w:val="24"/>
          <w:szCs w:val="24"/>
          <w:lang w:eastAsia="zh-CN"/>
        </w:rPr>
        <w:t>，不要说是人，就是</w:t>
      </w:r>
      <w:r>
        <w:rPr>
          <w:rFonts w:hint="eastAsia" w:ascii="楷体" w:hAnsi="楷体" w:eastAsia="楷体" w:cs="楷体"/>
          <w:b w:val="0"/>
          <w:bCs w:val="0"/>
          <w:color w:val="FF0000"/>
          <w:sz w:val="24"/>
          <w:szCs w:val="24"/>
          <w:lang w:val="en-US" w:eastAsia="zh-CN"/>
        </w:rPr>
        <w:t>绝大多数动植物</w:t>
      </w:r>
      <w:r>
        <w:rPr>
          <w:rFonts w:hint="eastAsia" w:ascii="楷体" w:hAnsi="楷体" w:eastAsia="楷体" w:cs="楷体"/>
          <w:b w:val="0"/>
          <w:bCs w:val="0"/>
          <w:color w:val="FF0000"/>
          <w:sz w:val="24"/>
          <w:szCs w:val="24"/>
          <w:lang w:eastAsia="zh-CN"/>
        </w:rPr>
        <w:t>都不会愚蠢地让自己处于必然的损失中</w:t>
      </w:r>
      <w:r>
        <w:rPr>
          <w:rFonts w:hint="eastAsia" w:ascii="楷体" w:hAnsi="楷体" w:eastAsia="楷体" w:cs="楷体"/>
          <w:b w:val="0"/>
          <w:bCs w:val="0"/>
          <w:color w:val="FF0000"/>
          <w:sz w:val="24"/>
          <w:szCs w:val="24"/>
        </w:rPr>
        <w:t>。</w:t>
      </w:r>
      <w:r>
        <w:rPr>
          <w:rFonts w:hint="eastAsia" w:ascii="楷体" w:hAnsi="楷体" w:eastAsia="楷体" w:cs="楷体"/>
          <w:b w:val="0"/>
          <w:bCs w:val="0"/>
          <w:color w:val="FF0000"/>
          <w:sz w:val="24"/>
          <w:szCs w:val="24"/>
          <w:lang w:val="en-US" w:eastAsia="zh-CN"/>
        </w:rPr>
        <w:t>此长期存续的现象</w:t>
      </w:r>
      <w:r>
        <w:rPr>
          <w:rFonts w:hint="eastAsia" w:ascii="楷体" w:hAnsi="楷体" w:eastAsia="楷体" w:cs="楷体"/>
          <w:b w:val="0"/>
          <w:bCs w:val="0"/>
          <w:color w:val="FF0000"/>
          <w:sz w:val="24"/>
          <w:szCs w:val="24"/>
          <w:lang w:eastAsia="zh-CN"/>
        </w:rPr>
        <w:t>背后一定有特定主体，故意制造坑杀大众局面的</w:t>
      </w:r>
      <w:r>
        <w:rPr>
          <w:rFonts w:hint="eastAsia" w:ascii="楷体" w:hAnsi="楷体" w:eastAsia="楷体" w:cs="楷体"/>
          <w:b w:val="0"/>
          <w:bCs w:val="0"/>
          <w:color w:val="FF0000"/>
          <w:sz w:val="24"/>
          <w:szCs w:val="24"/>
          <w:lang w:val="en-US" w:eastAsia="zh-CN"/>
        </w:rPr>
        <w:t>黑</w:t>
      </w:r>
      <w:r>
        <w:rPr>
          <w:rFonts w:hint="eastAsia" w:ascii="楷体" w:hAnsi="楷体" w:eastAsia="楷体" w:cs="楷体"/>
          <w:b w:val="0"/>
          <w:bCs w:val="0"/>
          <w:color w:val="FF0000"/>
          <w:sz w:val="24"/>
          <w:szCs w:val="24"/>
          <w:lang w:eastAsia="zh-CN"/>
        </w:rPr>
        <w:t>坑，来获取他们的利益，</w:t>
      </w:r>
      <w:r>
        <w:rPr>
          <w:rFonts w:hint="eastAsia" w:ascii="楷体" w:hAnsi="楷体" w:eastAsia="楷体" w:cs="楷体"/>
          <w:b w:val="0"/>
          <w:bCs w:val="0"/>
          <w:color w:val="FF0000"/>
          <w:sz w:val="24"/>
          <w:szCs w:val="24"/>
        </w:rPr>
        <w:t>高开盘</w:t>
      </w:r>
      <w:r>
        <w:rPr>
          <w:rFonts w:hint="eastAsia" w:ascii="楷体" w:hAnsi="楷体" w:eastAsia="楷体" w:cs="楷体"/>
          <w:b w:val="0"/>
          <w:bCs w:val="0"/>
          <w:color w:val="FF0000"/>
          <w:sz w:val="24"/>
          <w:szCs w:val="24"/>
          <w:lang w:val="en-US" w:eastAsia="zh-CN"/>
        </w:rPr>
        <w:t>价</w:t>
      </w:r>
      <w:r>
        <w:rPr>
          <w:rFonts w:hint="eastAsia" w:ascii="楷体" w:hAnsi="楷体" w:eastAsia="楷体" w:cs="楷体"/>
          <w:b w:val="0"/>
          <w:bCs w:val="0"/>
          <w:color w:val="FF0000"/>
          <w:sz w:val="24"/>
          <w:szCs w:val="24"/>
        </w:rPr>
        <w:t>是人为</w:t>
      </w:r>
      <w:r>
        <w:rPr>
          <w:rFonts w:hint="eastAsia" w:ascii="楷体" w:hAnsi="楷体" w:eastAsia="楷体" w:cs="楷体"/>
          <w:b w:val="0"/>
          <w:bCs w:val="0"/>
          <w:color w:val="FF0000"/>
          <w:sz w:val="24"/>
          <w:szCs w:val="24"/>
          <w:lang w:val="en-US" w:eastAsia="zh-CN"/>
        </w:rPr>
        <w:t>设</w:t>
      </w:r>
      <w:r>
        <w:rPr>
          <w:rFonts w:hint="eastAsia" w:ascii="楷体" w:hAnsi="楷体" w:eastAsia="楷体" w:cs="楷体"/>
          <w:b w:val="0"/>
          <w:bCs w:val="0"/>
          <w:color w:val="FF0000"/>
          <w:sz w:val="24"/>
          <w:szCs w:val="24"/>
        </w:rPr>
        <w:t>的局。</w:t>
      </w:r>
      <w:r>
        <w:rPr>
          <w:rFonts w:hint="eastAsia" w:ascii="宋体" w:hAnsi="宋体" w:eastAsia="宋体" w:cs="宋体"/>
          <w:sz w:val="24"/>
          <w:szCs w:val="24"/>
          <w:lang w:val="en-US" w:eastAsia="zh-CN"/>
        </w:rPr>
        <w:t xml:space="preserve">  </w:t>
      </w:r>
    </w:p>
    <w:p>
      <w:pPr>
        <w:adjustRightInd w:val="0"/>
        <w:spacing w:line="360" w:lineRule="auto"/>
        <w:ind w:firstLine="480" w:firstLineChars="200"/>
        <w:jc w:val="both"/>
        <w:rPr>
          <w:rFonts w:hint="eastAsia" w:ascii="楷体" w:hAnsi="楷体" w:eastAsia="楷体" w:cs="楷体"/>
          <w:color w:val="FF0000"/>
          <w:sz w:val="24"/>
          <w:szCs w:val="24"/>
        </w:rPr>
      </w:pPr>
      <w:r>
        <w:rPr>
          <w:rFonts w:hint="eastAsia" w:ascii="楷体" w:hAnsi="楷体" w:eastAsia="楷体" w:cs="楷体"/>
          <w:color w:val="FF0000"/>
          <w:sz w:val="24"/>
          <w:szCs w:val="24"/>
          <w:lang w:eastAsia="zh-CN"/>
        </w:rPr>
        <w:t>这种长期违反人性趋利避害，主动飞蛾扑火的现象，</w:t>
      </w:r>
      <w:r>
        <w:rPr>
          <w:rFonts w:hint="eastAsia" w:ascii="楷体" w:hAnsi="楷体" w:eastAsia="楷体" w:cs="楷体"/>
          <w:color w:val="FF0000"/>
          <w:sz w:val="24"/>
          <w:szCs w:val="24"/>
        </w:rPr>
        <w:t>在主要经济体的股市绝无仅有，是中国股市独有的风景。</w:t>
      </w:r>
    </w:p>
    <w:p>
      <w:pPr>
        <w:adjustRightInd w:val="0"/>
        <w:spacing w:line="360" w:lineRule="auto"/>
        <w:ind w:firstLine="480" w:firstLineChars="200"/>
        <w:jc w:val="both"/>
        <w:rPr>
          <w:rFonts w:hint="eastAsia" w:ascii="楷体" w:hAnsi="楷体" w:eastAsia="楷体" w:cs="楷体"/>
          <w:sz w:val="24"/>
          <w:szCs w:val="24"/>
        </w:rPr>
      </w:pPr>
      <w:r>
        <w:rPr>
          <w:rFonts w:hint="eastAsia" w:ascii="楷体" w:hAnsi="楷体" w:eastAsia="楷体" w:cs="楷体"/>
          <w:sz w:val="24"/>
          <w:szCs w:val="24"/>
        </w:rPr>
        <w:t>下表是香港股市从1994年到2022年近40年里的新股发行价、开盘价数据：</w:t>
      </w:r>
    </w:p>
    <w:p>
      <w:pPr>
        <w:adjustRightInd w:val="0"/>
        <w:spacing w:line="360" w:lineRule="auto"/>
        <w:ind w:firstLine="440" w:firstLineChars="200"/>
        <w:jc w:val="both"/>
        <w:rPr>
          <w:rFonts w:hint="eastAsia" w:ascii="楷体" w:hAnsi="楷体" w:eastAsia="楷体" w:cs="楷体"/>
          <w:sz w:val="24"/>
          <w:szCs w:val="24"/>
        </w:rPr>
      </w:pPr>
      <w:r>
        <w:drawing>
          <wp:inline distT="0" distB="0" distL="114300" distR="114300">
            <wp:extent cx="5524500" cy="6292215"/>
            <wp:effectExtent l="0" t="0" r="7620" b="190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7"/>
                    <a:stretch>
                      <a:fillRect/>
                    </a:stretch>
                  </pic:blipFill>
                  <pic:spPr>
                    <a:xfrm>
                      <a:off x="0" y="0"/>
                      <a:ext cx="5524500" cy="6292215"/>
                    </a:xfrm>
                    <a:prstGeom prst="rect">
                      <a:avLst/>
                    </a:prstGeom>
                    <a:noFill/>
                    <a:ln>
                      <a:noFill/>
                    </a:ln>
                  </pic:spPr>
                </pic:pic>
              </a:graphicData>
            </a:graphic>
          </wp:inline>
        </w:drawing>
      </w:r>
    </w:p>
    <w:p>
      <w:pPr>
        <w:adjustRightInd w:val="0"/>
        <w:spacing w:line="360" w:lineRule="auto"/>
        <w:ind w:firstLine="480" w:firstLineChars="200"/>
        <w:jc w:val="both"/>
        <w:rPr>
          <w:rFonts w:ascii="楷体" w:hAnsi="楷体" w:eastAsia="楷体" w:cs="楷体"/>
          <w:b/>
          <w:bCs/>
          <w:sz w:val="24"/>
          <w:szCs w:val="24"/>
        </w:rPr>
      </w:pPr>
      <w:r>
        <w:rPr>
          <w:rFonts w:hint="eastAsia" w:ascii="楷体" w:hAnsi="楷体" w:eastAsia="楷体" w:cs="楷体"/>
          <w:sz w:val="24"/>
          <w:szCs w:val="24"/>
        </w:rPr>
        <w:t>过去30年在港股市场上，合计发行了近1843只新股。在30年里的1800多只</w:t>
      </w:r>
      <w:r>
        <w:rPr>
          <w:rFonts w:hint="eastAsia" w:ascii="楷体" w:hAnsi="楷体" w:eastAsia="楷体" w:cs="楷体"/>
          <w:color w:val="000000"/>
          <w:sz w:val="24"/>
          <w:szCs w:val="24"/>
        </w:rPr>
        <w:t>新股上市交易后一个月平均价比发行价涨幅21.7%</w:t>
      </w:r>
      <w:r>
        <w:rPr>
          <w:rFonts w:hint="eastAsia" w:ascii="楷体" w:hAnsi="楷体" w:eastAsia="楷体" w:cs="楷体"/>
          <w:sz w:val="24"/>
          <w:szCs w:val="24"/>
        </w:rPr>
        <w:t>。</w:t>
      </w:r>
      <w:r>
        <w:rPr>
          <w:rFonts w:hint="eastAsia" w:ascii="楷体" w:hAnsi="楷体" w:eastAsia="楷体" w:cs="楷体"/>
          <w:b/>
          <w:bCs/>
          <w:sz w:val="24"/>
          <w:szCs w:val="24"/>
        </w:rPr>
        <w:t>客观数据表明香港股市过去30年的新股发行和新股交易开盘价相对差距不大，基本趋同！在香港市场上从平均的数据来看，过去30年所有新股的原始申购者、新股二级市场上市交易后一个月买入的投资人都能获利。香港市场新股发行促进了所有人的利益，上市公司获得了企业发展的资金，原始申购者获得了适度的申购利益，二级市场买入的投资者也获得了投资持有的利益，香港市场上过去30年实现了所有投资主体的多赢。与香港市场对比，我们在</w:t>
      </w:r>
      <w:r>
        <w:rPr>
          <w:rFonts w:hint="eastAsia" w:ascii="楷体" w:hAnsi="楷体" w:eastAsia="楷体" w:cs="楷体"/>
          <w:b/>
          <w:bCs/>
          <w:sz w:val="24"/>
          <w:szCs w:val="24"/>
          <w:lang w:eastAsia="zh"/>
        </w:rPr>
        <w:t>A股</w:t>
      </w:r>
      <w:r>
        <w:rPr>
          <w:rFonts w:hint="eastAsia" w:ascii="楷体" w:hAnsi="楷体" w:eastAsia="楷体" w:cs="楷体"/>
          <w:b/>
          <w:bCs/>
          <w:sz w:val="24"/>
          <w:szCs w:val="24"/>
        </w:rPr>
        <w:t>市场看到的是，参与了新股定价发行且有权利获得更多的新股的机构投资者获得了不正常、不合理、不公平的超额利益。二级市场上的投资者在新股开盘后买入遭遇规律性巨额亏损。</w:t>
      </w:r>
    </w:p>
    <w:p>
      <w:pPr>
        <w:adjustRightInd w:val="0"/>
        <w:spacing w:line="360" w:lineRule="auto"/>
        <w:ind w:firstLine="480" w:firstLineChars="200"/>
        <w:jc w:val="both"/>
        <w:rPr>
          <w:rFonts w:hint="eastAsia" w:ascii="楷体" w:hAnsi="楷体" w:eastAsia="楷体" w:cs="楷体"/>
          <w:sz w:val="24"/>
          <w:szCs w:val="24"/>
        </w:rPr>
      </w:pPr>
      <w:r>
        <w:rPr>
          <w:rFonts w:hint="eastAsia" w:ascii="楷体" w:hAnsi="楷体" w:eastAsia="楷体" w:cs="楷体"/>
          <w:sz w:val="24"/>
          <w:szCs w:val="24"/>
        </w:rPr>
        <w:t>为了让真相揭示</w:t>
      </w:r>
      <w:r>
        <w:rPr>
          <w:rFonts w:hint="eastAsia" w:ascii="楷体" w:hAnsi="楷体" w:eastAsia="楷体" w:cs="楷体"/>
          <w:sz w:val="24"/>
          <w:szCs w:val="24"/>
          <w:lang w:eastAsia="zh-CN"/>
        </w:rPr>
        <w:t>得</w:t>
      </w:r>
      <w:r>
        <w:rPr>
          <w:rFonts w:hint="eastAsia" w:ascii="楷体" w:hAnsi="楷体" w:eastAsia="楷体" w:cs="楷体"/>
          <w:sz w:val="24"/>
          <w:szCs w:val="24"/>
        </w:rPr>
        <w:t>更充分彻底，也为了把中国资本上流行的认为新股发行过程中，侵害二级市场投资者利益的罪魁祸首和不公平利益的获得者是上市公司和大股东，这个流行的错误纠正过来。我再次统计了美股从2010年至2022年美国股市在这12年里所发行新股的情况。下表是2010年到2022年美国股市所发行新股的上市首日开盘价较发行价涨幅、上市首日涨跌幅、上市至今的收益、上市数量。</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ascii="楷体" w:hAnsi="楷体" w:eastAsia="楷体" w:cs="楷体"/>
          <w:sz w:val="24"/>
          <w:szCs w:val="24"/>
        </w:rPr>
      </w:pPr>
      <w:r>
        <w:drawing>
          <wp:inline distT="0" distB="0" distL="114300" distR="114300">
            <wp:extent cx="5728970" cy="3764915"/>
            <wp:effectExtent l="0" t="0" r="1270" b="1460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8"/>
                    <a:stretch>
                      <a:fillRect/>
                    </a:stretch>
                  </pic:blipFill>
                  <pic:spPr>
                    <a:xfrm>
                      <a:off x="0" y="0"/>
                      <a:ext cx="5728970" cy="3764915"/>
                    </a:xfrm>
                    <a:prstGeom prst="rect">
                      <a:avLst/>
                    </a:prstGeom>
                    <a:noFill/>
                    <a:ln>
                      <a:noFill/>
                    </a:ln>
                  </pic:spPr>
                </pic:pic>
              </a:graphicData>
            </a:graphic>
          </wp:inline>
        </w:drawing>
      </w:r>
    </w:p>
    <w:p>
      <w:pPr>
        <w:adjustRightInd w:val="0"/>
        <w:spacing w:line="360" w:lineRule="auto"/>
        <w:ind w:firstLine="480" w:firstLineChars="200"/>
        <w:jc w:val="both"/>
        <w:rPr>
          <w:rFonts w:ascii="楷体" w:hAnsi="楷体" w:eastAsia="楷体" w:cs="楷体"/>
          <w:b/>
          <w:bCs/>
          <w:sz w:val="24"/>
          <w:szCs w:val="24"/>
        </w:rPr>
      </w:pPr>
      <w:r>
        <w:rPr>
          <w:rFonts w:hint="eastAsia" w:ascii="楷体" w:hAnsi="楷体" w:eastAsia="楷体" w:cs="楷体"/>
          <w:sz w:val="24"/>
          <w:szCs w:val="24"/>
        </w:rPr>
        <w:t>在美国股市的数据中，我们看到了一个清晰事实：</w:t>
      </w:r>
      <w:r>
        <w:rPr>
          <w:rFonts w:hint="eastAsia" w:ascii="楷体" w:hAnsi="楷体" w:eastAsia="楷体" w:cs="楷体"/>
          <w:b/>
          <w:bCs/>
          <w:sz w:val="24"/>
          <w:szCs w:val="24"/>
        </w:rPr>
        <w:t>美国股市在12年里一共发行了2969家，要比中国股市发行的公司数量多。我所以强调中国股市发行数量不是最多，是想证明资本市场上认为中国IPO数量过大，是中国股市周期性崩溃的原因不是事实。因为美国股市比中国股市同期发行的企业数量还要多，美国股市没有发生和中国一样的隔几年就一次的周期性崩溃。</w:t>
      </w:r>
    </w:p>
    <w:p>
      <w:pPr>
        <w:adjustRightInd w:val="0"/>
        <w:spacing w:line="360" w:lineRule="auto"/>
        <w:ind w:firstLine="482" w:firstLineChars="200"/>
        <w:jc w:val="both"/>
        <w:rPr>
          <w:rFonts w:ascii="楷体" w:hAnsi="楷体" w:eastAsia="楷体" w:cs="楷体"/>
          <w:b/>
          <w:bCs/>
          <w:sz w:val="24"/>
          <w:szCs w:val="24"/>
        </w:rPr>
      </w:pPr>
      <w:r>
        <w:rPr>
          <w:rFonts w:hint="eastAsia" w:ascii="楷体" w:hAnsi="楷体" w:eastAsia="楷体" w:cs="楷体"/>
          <w:b/>
          <w:bCs/>
          <w:sz w:val="24"/>
          <w:szCs w:val="24"/>
        </w:rPr>
        <w:t>在美国这2900多家新发行上市公司中，新股上市交易开盘价平均值比新股发行价高了20%，与香港的数据大体趋同。而且我们看到这个平均20%的涨幅其实受到了2022年这一极为特殊年份中极端数据的影响，如果我们把2022年、2021、2020这三年美国股市突然强劲走牛背景下，出现的新股上市交易价比新股发行价涨幅过高的阶段剔除，大部分时间里，美国新股发行价和股票交易开盘价比只有10%多一点的涨幅。</w:t>
      </w:r>
    </w:p>
    <w:p>
      <w:pPr>
        <w:adjustRightInd w:val="0"/>
        <w:spacing w:line="360" w:lineRule="auto"/>
        <w:ind w:firstLine="480" w:firstLineChars="200"/>
        <w:jc w:val="both"/>
        <w:rPr>
          <w:rFonts w:hint="eastAsia" w:ascii="楷体" w:hAnsi="楷体" w:eastAsia="楷体" w:cs="楷体"/>
          <w:sz w:val="24"/>
          <w:szCs w:val="24"/>
        </w:rPr>
      </w:pPr>
      <w:r>
        <w:rPr>
          <w:rFonts w:hint="eastAsia" w:ascii="楷体" w:hAnsi="楷体" w:eastAsia="楷体" w:cs="楷体"/>
          <w:sz w:val="24"/>
          <w:szCs w:val="24"/>
          <w:lang w:bidi="ar"/>
        </w:rPr>
        <w:t>下表是美国佛罗里达大学沃灵顿商学院统计1995年至2009年美股IPO数据</w:t>
      </w:r>
      <w:r>
        <w:rPr>
          <w:rFonts w:hint="eastAsia" w:ascii="楷体" w:hAnsi="楷体" w:eastAsia="楷体" w:cs="楷体"/>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ascii="楷体" w:hAnsi="楷体" w:eastAsia="楷体" w:cs="楷体"/>
          <w:sz w:val="24"/>
          <w:szCs w:val="24"/>
        </w:rPr>
      </w:pPr>
      <w:r>
        <w:drawing>
          <wp:inline distT="0" distB="0" distL="114300" distR="114300">
            <wp:extent cx="5725795" cy="3719830"/>
            <wp:effectExtent l="0" t="0" r="4445" b="1397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9"/>
                    <a:stretch>
                      <a:fillRect/>
                    </a:stretch>
                  </pic:blipFill>
                  <pic:spPr>
                    <a:xfrm>
                      <a:off x="0" y="0"/>
                      <a:ext cx="5725795" cy="37198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both"/>
        <w:textAlignment w:val="auto"/>
        <w:rPr>
          <w:rFonts w:ascii="楷体" w:hAnsi="楷体" w:eastAsia="楷体" w:cs="楷体"/>
          <w:sz w:val="24"/>
          <w:szCs w:val="24"/>
        </w:rPr>
      </w:pPr>
      <w:r>
        <w:rPr>
          <w:rFonts w:hint="eastAsia" w:ascii="楷体" w:hAnsi="楷体" w:eastAsia="楷体" w:cs="楷体"/>
          <w:b/>
          <w:bCs/>
          <w:sz w:val="24"/>
          <w:szCs w:val="24"/>
        </w:rPr>
        <w:t>表中清晰</w:t>
      </w:r>
      <w:r>
        <w:rPr>
          <w:rFonts w:hint="eastAsia" w:ascii="楷体" w:hAnsi="楷体" w:eastAsia="楷体" w:cs="楷体"/>
          <w:b/>
          <w:bCs/>
          <w:sz w:val="24"/>
          <w:szCs w:val="24"/>
          <w:lang w:eastAsia="zh-CN"/>
        </w:rPr>
        <w:t>地</w:t>
      </w:r>
      <w:r>
        <w:rPr>
          <w:rFonts w:hint="eastAsia" w:ascii="楷体" w:hAnsi="楷体" w:eastAsia="楷体" w:cs="楷体"/>
          <w:b/>
          <w:bCs/>
          <w:sz w:val="24"/>
          <w:szCs w:val="24"/>
        </w:rPr>
        <w:t>看到</w:t>
      </w:r>
      <w:r>
        <w:rPr>
          <w:rFonts w:hint="eastAsia" w:ascii="楷体" w:hAnsi="楷体" w:eastAsia="楷体" w:cs="楷体"/>
          <w:sz w:val="24"/>
          <w:szCs w:val="24"/>
        </w:rPr>
        <w:t>美国市场上在绝大部分非牛市时间都能够让发行价和新股上市交易价保持在不高估的正常水平，从而确保二级市场买入新股的投资者都能获得合理的利润或必然亏钱。只是到牛市来临的时候泡沫泛滥，美国股市参与者会头脑发热，此时二级市场就会陷入非理性的新股开盘价过高。但这个时间非常短。</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ascii="楷体" w:hAnsi="楷体" w:eastAsia="楷体" w:cs="楷体"/>
          <w:b/>
          <w:bCs/>
          <w:sz w:val="24"/>
          <w:szCs w:val="24"/>
        </w:rPr>
      </w:pPr>
      <w:r>
        <w:rPr>
          <w:rFonts w:hint="eastAsia" w:ascii="楷体" w:hAnsi="楷体" w:eastAsia="楷体" w:cs="楷体"/>
          <w:b/>
          <w:bCs/>
          <w:sz w:val="24"/>
          <w:szCs w:val="24"/>
        </w:rPr>
        <w:t>在美国的数据中看到了跟香港一样的情况，新股交易开盘价比发行申购价高不了多少，只有</w:t>
      </w:r>
      <w:r>
        <w:rPr>
          <w:rFonts w:hint="eastAsia" w:ascii="楷体" w:hAnsi="楷体" w:eastAsia="楷体" w:cs="楷体"/>
          <w:b/>
          <w:bCs/>
          <w:sz w:val="24"/>
          <w:szCs w:val="24"/>
          <w:lang w:eastAsia="zh-CN"/>
        </w:rPr>
        <w:t>10%</w:t>
      </w:r>
      <w:r>
        <w:rPr>
          <w:rFonts w:hint="eastAsia" w:ascii="楷体" w:hAnsi="楷体" w:eastAsia="楷体" w:cs="楷体"/>
          <w:sz w:val="22"/>
          <w:szCs w:val="22"/>
          <w:lang w:eastAsia="zh-CN"/>
        </w:rPr>
        <w:t>～</w:t>
      </w:r>
      <w:r>
        <w:rPr>
          <w:rFonts w:hint="eastAsia" w:ascii="楷体" w:hAnsi="楷体" w:eastAsia="楷体" w:cs="楷体"/>
          <w:b/>
          <w:bCs/>
          <w:sz w:val="24"/>
          <w:szCs w:val="24"/>
          <w:lang w:eastAsia="zh-CN"/>
        </w:rPr>
        <w:t>20%</w:t>
      </w:r>
      <w:r>
        <w:rPr>
          <w:rFonts w:hint="eastAsia" w:ascii="楷体" w:hAnsi="楷体" w:eastAsia="楷体" w:cs="楷体"/>
          <w:b/>
          <w:bCs/>
          <w:sz w:val="24"/>
          <w:szCs w:val="24"/>
        </w:rPr>
        <w:t>之间。这样的相对趋同的新股发行价和新股开盘交易价</w:t>
      </w:r>
      <w:r>
        <w:rPr>
          <w:rFonts w:hint="eastAsia" w:ascii="楷体" w:hAnsi="楷体" w:eastAsia="楷体" w:cs="楷体"/>
          <w:b/>
          <w:bCs/>
          <w:sz w:val="24"/>
          <w:szCs w:val="24"/>
          <w:lang w:eastAsia="zh-CN"/>
        </w:rPr>
        <w:t>，</w:t>
      </w:r>
      <w:r>
        <w:rPr>
          <w:rFonts w:hint="eastAsia" w:ascii="楷体" w:hAnsi="楷体" w:eastAsia="楷体" w:cs="楷体"/>
          <w:b/>
          <w:bCs/>
          <w:sz w:val="24"/>
          <w:szCs w:val="24"/>
        </w:rPr>
        <w:t>保证了后期市场的投资人可以获得稳定的回报，而不会形成严重的损失。</w:t>
      </w:r>
      <w:r>
        <w:rPr>
          <w:rFonts w:hint="eastAsia" w:ascii="楷体" w:hAnsi="楷体" w:eastAsia="楷体" w:cs="楷体"/>
          <w:sz w:val="24"/>
          <w:szCs w:val="24"/>
        </w:rPr>
        <w:t>中国大陆</w:t>
      </w:r>
      <w:r>
        <w:rPr>
          <w:rFonts w:hint="eastAsia" w:ascii="楷体" w:hAnsi="楷体" w:eastAsia="楷体" w:cs="楷体"/>
          <w:sz w:val="24"/>
          <w:szCs w:val="24"/>
          <w:lang w:eastAsia="zh"/>
        </w:rPr>
        <w:t>A股</w:t>
      </w:r>
      <w:r>
        <w:rPr>
          <w:rFonts w:hint="eastAsia" w:ascii="楷体" w:hAnsi="楷体" w:eastAsia="楷体" w:cs="楷体"/>
          <w:sz w:val="24"/>
          <w:szCs w:val="24"/>
        </w:rPr>
        <w:t>，中国香港以及美国股市的正反两方面数据证明一般的规律是：</w:t>
      </w:r>
      <w:r>
        <w:rPr>
          <w:rFonts w:hint="eastAsia" w:ascii="楷体" w:hAnsi="楷体" w:eastAsia="楷体" w:cs="楷体"/>
          <w:b/>
          <w:bCs/>
          <w:sz w:val="24"/>
          <w:szCs w:val="24"/>
        </w:rPr>
        <w:t>新股发行价和新股上市交易的开盘价，只有都合理都不高估的情况下，市场投资者才能获利，如果新股发行价或者新股开盘价明显的高估，那么二级市场投资人一定是亏损的。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楷体" w:hAnsi="楷体" w:eastAsia="楷体" w:cs="楷体"/>
          <w:sz w:val="24"/>
          <w:szCs w:val="24"/>
        </w:rPr>
      </w:pPr>
      <w:r>
        <w:rPr>
          <w:rFonts w:hint="eastAsia" w:ascii="楷体" w:hAnsi="楷体" w:eastAsia="楷体" w:cs="楷体"/>
          <w:sz w:val="24"/>
          <w:szCs w:val="24"/>
        </w:rPr>
        <w:t>综合以上数据分析确认的事实是：</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ascii="楷体" w:hAnsi="楷体" w:eastAsia="楷体" w:cs="楷体"/>
          <w:b/>
          <w:bCs/>
          <w:sz w:val="24"/>
          <w:szCs w:val="24"/>
        </w:rPr>
      </w:pPr>
      <w:r>
        <w:rPr>
          <w:rFonts w:hint="eastAsia" w:ascii="楷体" w:hAnsi="楷体" w:eastAsia="楷体" w:cs="楷体"/>
          <w:b/>
          <w:bCs/>
          <w:sz w:val="24"/>
          <w:szCs w:val="24"/>
        </w:rPr>
        <w:t>新股发行过程中，二级市场能参与新股发行定价的机构投资者，</w:t>
      </w:r>
      <w:r>
        <w:rPr>
          <w:rFonts w:hint="eastAsia" w:ascii="楷体" w:hAnsi="楷体" w:eastAsia="楷体" w:cs="楷体"/>
          <w:b/>
          <w:bCs/>
          <w:sz w:val="24"/>
          <w:szCs w:val="24"/>
          <w:lang w:eastAsia="zh-CN"/>
        </w:rPr>
        <w:t>利用</w:t>
      </w:r>
      <w:r>
        <w:rPr>
          <w:rFonts w:hint="eastAsia" w:ascii="楷体" w:hAnsi="楷体" w:eastAsia="楷体" w:cs="楷体"/>
          <w:b/>
          <w:bCs/>
          <w:sz w:val="24"/>
          <w:szCs w:val="24"/>
        </w:rPr>
        <w:t>政策优惠低价申购原始股后，在二级市场高价开盘导致投资者在二级市场买入新股后，规律性必然大幅亏损！使二级市场投资者大幅亏损的根本原因不是上市公司，不是大股东，是二级市场的机构投资者。在新股发行过程中存在着一种割韭菜的盈利模式，这种割韭</w:t>
      </w:r>
      <w:r>
        <w:rPr>
          <w:rFonts w:hint="eastAsia" w:ascii="楷体" w:hAnsi="楷体" w:eastAsia="楷体" w:cs="楷体"/>
          <w:b/>
          <w:bCs/>
          <w:sz w:val="24"/>
          <w:szCs w:val="24"/>
          <w:lang w:eastAsia="zh-CN"/>
        </w:rPr>
        <w:t>菜的</w:t>
      </w:r>
      <w:r>
        <w:rPr>
          <w:rFonts w:hint="eastAsia" w:ascii="楷体" w:hAnsi="楷体" w:eastAsia="楷体" w:cs="楷体"/>
          <w:b/>
          <w:bCs/>
          <w:sz w:val="24"/>
          <w:szCs w:val="24"/>
        </w:rPr>
        <w:t>盈利模式是由能参与新股发行定价的机构投资者，通过扭曲操纵新股开盘价来实现的。</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ascii="楷体" w:hAnsi="楷体" w:eastAsia="楷体" w:cs="楷体"/>
          <w:b/>
          <w:bCs/>
          <w:sz w:val="24"/>
          <w:szCs w:val="24"/>
        </w:rPr>
      </w:pPr>
      <w:r>
        <w:rPr>
          <w:rFonts w:hint="eastAsia" w:ascii="楷体" w:hAnsi="楷体" w:eastAsia="楷体" w:cs="楷体"/>
          <w:b/>
          <w:bCs/>
          <w:sz w:val="24"/>
          <w:szCs w:val="24"/>
        </w:rPr>
        <w:t>由专家学者提出流行在市场上的认定上市公司、大股东是中国股市使参与新股交易的投资者规律性必然亏损的罪魁祸首和责任方，这一观点没有数据和事实依据。专家学者还有一个明显的错误，那就是认为中国资本市场周期性崩溃的原因是：上市公司大股东会在高位高价减持，是上市公司大股东高位高价减持导致了中国资本市场周期性崩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楷体" w:hAnsi="楷体" w:eastAsia="楷体" w:cs="楷体"/>
          <w:b/>
          <w:bCs/>
          <w:sz w:val="24"/>
          <w:szCs w:val="24"/>
        </w:rPr>
      </w:pPr>
      <w:r>
        <w:rPr>
          <w:rFonts w:hint="eastAsia" w:ascii="楷体" w:hAnsi="楷体" w:eastAsia="楷体" w:cs="楷体"/>
          <w:sz w:val="24"/>
          <w:szCs w:val="24"/>
          <w:shd w:val="clear" w:color="auto" w:fill="FFFFFF"/>
        </w:rPr>
        <w:t>中国人民大学金融与证券研究所所长</w:t>
      </w:r>
      <w:r>
        <w:rPr>
          <w:rFonts w:hint="eastAsia" w:ascii="楷体" w:hAnsi="楷体" w:eastAsia="楷体" w:cs="楷体"/>
          <w:b/>
          <w:bCs/>
          <w:sz w:val="24"/>
          <w:szCs w:val="24"/>
        </w:rPr>
        <w:t>吴晓求认为股市的问题是因为 IPO成功后的上市公司大规模减持，并提出的政策建议是抑制IPO的速度</w:t>
      </w:r>
      <w:r>
        <w:rPr>
          <w:rFonts w:hint="eastAsia" w:ascii="楷体" w:hAnsi="楷体" w:eastAsia="楷体" w:cs="楷体"/>
          <w:b/>
          <w:bCs/>
          <w:sz w:val="24"/>
          <w:szCs w:val="24"/>
          <w:lang w:eastAsia="zh-CN"/>
        </w:rPr>
        <w:t>，甚至</w:t>
      </w:r>
      <w:r>
        <w:rPr>
          <w:rFonts w:hint="eastAsia" w:ascii="楷体" w:hAnsi="楷体" w:eastAsia="楷体" w:cs="楷体"/>
          <w:b/>
          <w:bCs/>
          <w:sz w:val="24"/>
          <w:szCs w:val="24"/>
        </w:rPr>
        <w:t>暂缓IPO：</w:t>
      </w:r>
    </w:p>
    <w:p>
      <w:pPr>
        <w:pStyle w:val="11"/>
        <w:keepNext w:val="0"/>
        <w:keepLines w:val="0"/>
        <w:pageBreakBefore w:val="0"/>
        <w:widowControl w:val="0"/>
        <w:shd w:val="clear" w:color="auto" w:fill="FFFFFF"/>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ascii="楷体" w:hAnsi="楷体" w:eastAsia="楷体" w:cs="楷体"/>
          <w:sz w:val="24"/>
          <w:szCs w:val="24"/>
          <w:shd w:val="clear" w:color="auto" w:fill="FFFFFF"/>
          <w:lang w:bidi="ar"/>
        </w:rPr>
      </w:pPr>
      <w:r>
        <w:rPr>
          <w:rFonts w:hint="eastAsia" w:ascii="楷体" w:hAnsi="楷体" w:eastAsia="楷体" w:cs="楷体"/>
          <w:sz w:val="24"/>
          <w:szCs w:val="24"/>
          <w:shd w:val="clear" w:color="auto" w:fill="FFFFFF"/>
        </w:rPr>
        <w:t>“过去的三四年，中国内地每年上市的公司都有三四百家，大约有65%的上市公司在三年到期后都去减持，而且</w:t>
      </w:r>
      <w:r>
        <w:rPr>
          <w:rFonts w:hint="eastAsia" w:ascii="楷体" w:hAnsi="楷体" w:eastAsia="楷体" w:cs="楷体"/>
          <w:sz w:val="24"/>
          <w:szCs w:val="24"/>
          <w:shd w:val="clear" w:color="auto" w:fill="FFFFFF"/>
          <w:lang w:eastAsia="zh-CN"/>
        </w:rPr>
        <w:t>其中</w:t>
      </w:r>
      <w:r>
        <w:rPr>
          <w:rFonts w:hint="eastAsia" w:ascii="楷体" w:hAnsi="楷体" w:eastAsia="楷体" w:cs="楷体"/>
          <w:sz w:val="24"/>
          <w:szCs w:val="24"/>
          <w:shd w:val="clear" w:color="auto" w:fill="FFFFFF"/>
        </w:rPr>
        <w:t>有相当多的公司并没有创造与它融资额相匹配的利润。投资者是聪明的，他发现原来IPO是一门生意，办企业很累、很难，但IPO成功了、闯关成功了，就可以成为十亿富翁，甚至百亿富翁，可是这种并没有为社会带来多少财富。所以当时我说，我们现在必须止血，暂缓IPO，或者把IPO的速度放到很低，不能每年再有三四百家企业。”</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ascii="楷体" w:hAnsi="楷体" w:eastAsia="楷体" w:cs="楷体"/>
          <w:b/>
          <w:bCs/>
          <w:sz w:val="24"/>
          <w:szCs w:val="24"/>
        </w:rPr>
      </w:pPr>
      <w:r>
        <w:rPr>
          <w:rFonts w:hint="eastAsia" w:ascii="楷体" w:hAnsi="楷体" w:eastAsia="楷体" w:cs="楷体"/>
          <w:b/>
          <w:bCs/>
          <w:sz w:val="24"/>
          <w:szCs w:val="24"/>
        </w:rPr>
        <w:t>刘纪鹏教授同样认为中国股市的主要问题来源于上市数量过大以及大股东高价减持：</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ind w:firstLine="480" w:firstLineChars="200"/>
        <w:jc w:val="both"/>
        <w:textAlignment w:val="auto"/>
        <w:rPr>
          <w:rFonts w:ascii="楷体" w:hAnsi="楷体" w:eastAsia="楷体" w:cs="楷体"/>
          <w:b/>
          <w:bCs/>
          <w:sz w:val="24"/>
          <w:szCs w:val="24"/>
        </w:rPr>
      </w:pPr>
      <w:r>
        <w:rPr>
          <w:rFonts w:hint="eastAsia" w:ascii="楷体" w:hAnsi="楷体" w:eastAsia="楷体" w:cs="楷体"/>
          <w:sz w:val="24"/>
          <w:szCs w:val="24"/>
          <w:shd w:val="clear" w:color="auto" w:fill="FFFFFF"/>
          <w:lang w:bidi="ar"/>
        </w:rPr>
        <w:t>“股市走成这个样子，一个很重要的原因也是融资端和供给端的不平衡：上（市）的（数）量太大，加上股份溢价很高，疯狂减持就不足为奇。最终导致大股东高位套现暴富，股票供给增加，股价一路下跌，散户被割韭菜。”</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ascii="楷体" w:hAnsi="楷体" w:eastAsia="楷体" w:cs="楷体"/>
          <w:b/>
          <w:bCs/>
          <w:sz w:val="24"/>
          <w:szCs w:val="24"/>
        </w:rPr>
      </w:pPr>
      <w:r>
        <w:rPr>
          <w:rFonts w:hint="eastAsia" w:ascii="楷体" w:hAnsi="楷体" w:eastAsia="楷体" w:cs="楷体"/>
          <w:b/>
          <w:bCs/>
          <w:sz w:val="24"/>
          <w:szCs w:val="24"/>
        </w:rPr>
        <w:t>固然从现象上大股东的高价减持从二级市场上拿走了巨额财富，而且这些巨额财富也确确实实是二级市场投资者的损失。但是却并不能说大股东侵害了二级市场投资人的利益，不仅不能说大股东侵犯了二级市场投资人的利益，还要肯定大股东的高位减持保护了二级市场投资人，起到抑制泡沫防止更大损失的积极意义和价值。这是一段让看到这段话的人，感到惊异和不容易接受的观点，为此我用客观事实和客观数据来说明问题，大家自然很清楚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楷体" w:hAnsi="楷体" w:eastAsia="楷体" w:cs="楷体"/>
          <w:sz w:val="24"/>
          <w:szCs w:val="24"/>
        </w:rPr>
      </w:pPr>
      <w:r>
        <w:rPr>
          <w:rFonts w:hint="eastAsia" w:ascii="楷体" w:hAnsi="楷体" w:eastAsia="楷体" w:cs="楷体"/>
          <w:sz w:val="24"/>
          <w:szCs w:val="24"/>
        </w:rPr>
        <w:t>2021年1月至2024年3月，以公告形式公布的</w:t>
      </w:r>
      <w:r>
        <w:rPr>
          <w:rFonts w:hint="eastAsia" w:ascii="楷体" w:hAnsi="楷体" w:eastAsia="楷体" w:cs="楷体"/>
          <w:sz w:val="24"/>
          <w:szCs w:val="24"/>
          <w:lang w:eastAsia="zh"/>
        </w:rPr>
        <w:t>A股</w:t>
      </w:r>
      <w:r>
        <w:rPr>
          <w:rFonts w:hint="eastAsia" w:ascii="楷体" w:hAnsi="楷体" w:eastAsia="楷体" w:cs="楷体"/>
          <w:sz w:val="24"/>
          <w:szCs w:val="24"/>
        </w:rPr>
        <w:t>股东减持数据是</w:t>
      </w:r>
      <w:r>
        <w:rPr>
          <w:rFonts w:hint="eastAsia" w:ascii="楷体" w:hAnsi="楷体" w:eastAsia="楷体" w:cs="楷体"/>
          <w:sz w:val="24"/>
          <w:szCs w:val="24"/>
          <w:lang w:eastAsia="zh"/>
        </w:rPr>
        <w:t>A股</w:t>
      </w:r>
      <w:r>
        <w:rPr>
          <w:rFonts w:hint="eastAsia" w:ascii="楷体" w:hAnsi="楷体" w:eastAsia="楷体" w:cs="楷体"/>
          <w:sz w:val="24"/>
          <w:szCs w:val="24"/>
        </w:rPr>
        <w:t>股东共减持16936.18亿元，按照减持时的市盈率划分成几个等级，分别统计其减持金额及占比如下表。</w:t>
      </w:r>
    </w:p>
    <w:p>
      <w:pPr>
        <w:pStyle w:val="6"/>
        <w:keepNext w:val="0"/>
        <w:keepLines w:val="0"/>
        <w:pageBreakBefore w:val="0"/>
        <w:widowControl w:val="0"/>
        <w:kinsoku/>
        <w:wordWrap/>
        <w:overflowPunct/>
        <w:topLinePunct w:val="0"/>
        <w:autoSpaceDE/>
        <w:autoSpaceDN/>
        <w:bidi w:val="0"/>
        <w:adjustRightInd w:val="0"/>
        <w:snapToGrid/>
        <w:spacing w:before="0" w:beforeLines="50" w:line="240" w:lineRule="auto"/>
        <w:jc w:val="left"/>
        <w:textAlignment w:val="auto"/>
      </w:pPr>
      <w:r>
        <w:drawing>
          <wp:inline distT="0" distB="0" distL="114300" distR="114300">
            <wp:extent cx="5727065" cy="3233420"/>
            <wp:effectExtent l="0" t="0" r="3175" b="1270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0"/>
                    <a:stretch>
                      <a:fillRect/>
                    </a:stretch>
                  </pic:blipFill>
                  <pic:spPr>
                    <a:xfrm>
                      <a:off x="0" y="0"/>
                      <a:ext cx="5727065" cy="3233420"/>
                    </a:xfrm>
                    <a:prstGeom prst="rect">
                      <a:avLst/>
                    </a:prstGeom>
                    <a:noFill/>
                    <a:ln>
                      <a:noFill/>
                    </a:ln>
                  </pic:spPr>
                </pic:pic>
              </a:graphicData>
            </a:graphic>
          </wp:inline>
        </w:drawing>
      </w:r>
    </w:p>
    <w:p>
      <w:pPr>
        <w:adjustRightInd w:val="0"/>
        <w:spacing w:line="360" w:lineRule="auto"/>
        <w:ind w:firstLine="480" w:firstLineChars="200"/>
        <w:jc w:val="both"/>
        <w:rPr>
          <w:rFonts w:ascii="楷体" w:hAnsi="楷体" w:eastAsia="楷体" w:cs="楷体"/>
          <w:b/>
          <w:bCs/>
          <w:sz w:val="24"/>
          <w:szCs w:val="24"/>
        </w:rPr>
      </w:pPr>
      <w:r>
        <w:rPr>
          <w:rFonts w:hint="eastAsia" w:ascii="楷体" w:hAnsi="楷体" w:eastAsia="楷体" w:cs="楷体"/>
          <w:sz w:val="24"/>
          <w:szCs w:val="24"/>
        </w:rPr>
        <w:t>可以看出，</w:t>
      </w:r>
      <w:r>
        <w:rPr>
          <w:rFonts w:hint="eastAsia" w:ascii="楷体" w:hAnsi="楷体" w:eastAsia="楷体" w:cs="楷体"/>
          <w:b/>
          <w:bCs/>
          <w:sz w:val="24"/>
          <w:szCs w:val="24"/>
        </w:rPr>
        <w:t>40倍以上市盈率的占比最大，共减持了8608.54亿元，占50.8%。而市盈率低于10倍的减持比例只占不到5%。我们把减持的金额和占减持总规模的比例与市盈率关联起来，分类统计看到的是市盈率越高减持的力度越大，减持规模越大。数据说明减持行为与估值高低有强烈明显的正相关，减持本质上属于高抛，是对高估值的不认同不接受。</w:t>
      </w:r>
    </w:p>
    <w:p>
      <w:pPr>
        <w:adjustRightInd w:val="0"/>
        <w:spacing w:line="360" w:lineRule="auto"/>
        <w:ind w:firstLine="480" w:firstLineChars="200"/>
        <w:jc w:val="both"/>
        <w:outlineLvl w:val="9"/>
        <w:rPr>
          <w:rFonts w:ascii="楷体" w:hAnsi="楷体" w:eastAsia="楷体" w:cs="楷体"/>
          <w:sz w:val="24"/>
          <w:szCs w:val="24"/>
        </w:rPr>
      </w:pPr>
      <w:r>
        <w:rPr>
          <w:rFonts w:hint="eastAsia" w:ascii="楷体" w:hAnsi="楷体" w:eastAsia="楷体" w:cs="楷体"/>
          <w:sz w:val="24"/>
          <w:szCs w:val="24"/>
        </w:rPr>
        <w:t>下表是减持金额最大的10只股票</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ascii="楷体" w:hAnsi="楷体" w:eastAsia="楷体" w:cs="楷体"/>
        </w:rPr>
      </w:pPr>
      <w:r>
        <w:drawing>
          <wp:inline distT="0" distB="0" distL="114300" distR="114300">
            <wp:extent cx="5728970" cy="3805555"/>
            <wp:effectExtent l="0" t="0" r="1270" b="444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1"/>
                    <a:stretch>
                      <a:fillRect/>
                    </a:stretch>
                  </pic:blipFill>
                  <pic:spPr>
                    <a:xfrm>
                      <a:off x="0" y="0"/>
                      <a:ext cx="5728970" cy="3805555"/>
                    </a:xfrm>
                    <a:prstGeom prst="rect">
                      <a:avLst/>
                    </a:prstGeom>
                    <a:noFill/>
                    <a:ln>
                      <a:noFill/>
                    </a:ln>
                  </pic:spPr>
                </pic:pic>
              </a:graphicData>
            </a:graphic>
          </wp:inline>
        </w:drawing>
      </w:r>
    </w:p>
    <w:p>
      <w:pPr>
        <w:adjustRightInd w:val="0"/>
        <w:spacing w:line="360" w:lineRule="auto"/>
        <w:ind w:firstLine="480" w:firstLineChars="200"/>
        <w:jc w:val="both"/>
        <w:rPr>
          <w:rFonts w:ascii="楷体" w:hAnsi="楷体" w:eastAsia="楷体" w:cs="楷体"/>
          <w:sz w:val="24"/>
          <w:szCs w:val="24"/>
          <w:highlight w:val="red"/>
        </w:rPr>
      </w:pPr>
      <w:r>
        <w:rPr>
          <w:rFonts w:hint="eastAsia" w:ascii="楷体" w:hAnsi="楷体" w:eastAsia="楷体" w:cs="楷体"/>
          <w:sz w:val="24"/>
          <w:szCs w:val="24"/>
        </w:rPr>
        <w:t>对2021年以来减持金额最大的10只股票的减持金额，减持次数以及减持的平均市盈率进行关联统计后，发现减持金额最大的股票，更强烈地体现出在高估值时减持。除去处于房地产周期低点的万科，再除去市盈率只有14倍的万华化学，我们可以看到</w:t>
      </w:r>
      <w:r>
        <w:rPr>
          <w:rFonts w:hint="eastAsia" w:ascii="楷体" w:hAnsi="楷体" w:eastAsia="楷体" w:cs="楷体"/>
          <w:b/>
          <w:bCs/>
          <w:sz w:val="24"/>
          <w:szCs w:val="24"/>
        </w:rPr>
        <w:t>其他的8家最大规模减持的公司的平均市盈率已经快接近100倍了</w:t>
      </w:r>
      <w:r>
        <w:rPr>
          <w:rFonts w:hint="eastAsia" w:ascii="楷体" w:hAnsi="楷体" w:eastAsia="楷体" w:cs="楷体"/>
          <w:sz w:val="24"/>
          <w:szCs w:val="24"/>
        </w:rPr>
        <w:t>。</w:t>
      </w:r>
    </w:p>
    <w:p>
      <w:pPr>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药明康德和康龙化成这两只医药股减持的力度最大。其中，药明康德减持了57次，减持比例约为5%。减持金额约为180亿元，减持时的市盈率高达80倍，而康龙化成减持了92次，减持比例高达19%，减持金额也接近180亿元，减持时的市盈率64倍。金山办公减持了120多亿，减持的平均市盈率竟然是近200倍。科技股也占了4只，金山办公</w:t>
      </w:r>
      <w:r>
        <w:rPr>
          <w:rFonts w:hint="eastAsia" w:ascii="楷体" w:hAnsi="楷体" w:eastAsia="楷体" w:cs="楷体"/>
          <w:sz w:val="24"/>
          <w:szCs w:val="24"/>
          <w:lang w:eastAsia="zh-CN"/>
        </w:rPr>
        <w:t>、</w:t>
      </w:r>
      <w:r>
        <w:rPr>
          <w:rFonts w:hint="eastAsia" w:ascii="楷体" w:hAnsi="楷体" w:eastAsia="楷体" w:cs="楷体"/>
          <w:sz w:val="24"/>
          <w:szCs w:val="24"/>
        </w:rPr>
        <w:t>比亚迪</w:t>
      </w:r>
      <w:r>
        <w:rPr>
          <w:rFonts w:hint="eastAsia" w:ascii="楷体" w:hAnsi="楷体" w:eastAsia="楷体" w:cs="楷体"/>
          <w:sz w:val="24"/>
          <w:szCs w:val="24"/>
          <w:lang w:eastAsia="zh-CN"/>
        </w:rPr>
        <w:t>、</w:t>
      </w:r>
      <w:r>
        <w:rPr>
          <w:rFonts w:hint="eastAsia" w:ascii="楷体" w:hAnsi="楷体" w:eastAsia="楷体" w:cs="楷体"/>
          <w:sz w:val="24"/>
          <w:szCs w:val="24"/>
        </w:rPr>
        <w:t>石头科技</w:t>
      </w:r>
      <w:r>
        <w:rPr>
          <w:rFonts w:hint="eastAsia" w:ascii="楷体" w:hAnsi="楷体" w:eastAsia="楷体" w:cs="楷体"/>
          <w:sz w:val="24"/>
          <w:szCs w:val="24"/>
          <w:lang w:eastAsia="zh-CN"/>
        </w:rPr>
        <w:t>、</w:t>
      </w:r>
      <w:r>
        <w:rPr>
          <w:rFonts w:hint="eastAsia" w:ascii="楷体" w:hAnsi="楷体" w:eastAsia="楷体" w:cs="楷体"/>
          <w:sz w:val="24"/>
          <w:szCs w:val="24"/>
        </w:rPr>
        <w:t>澜起科技</w:t>
      </w:r>
      <w:r>
        <w:rPr>
          <w:rFonts w:hint="eastAsia" w:ascii="楷体" w:hAnsi="楷体" w:eastAsia="楷体" w:cs="楷体"/>
          <w:sz w:val="24"/>
          <w:szCs w:val="24"/>
          <w:lang w:eastAsia="zh-CN"/>
        </w:rPr>
        <w:t>、</w:t>
      </w:r>
      <w:r>
        <w:rPr>
          <w:rFonts w:hint="eastAsia" w:ascii="楷体" w:hAnsi="楷体" w:eastAsia="楷体" w:cs="楷体"/>
          <w:sz w:val="24"/>
          <w:szCs w:val="24"/>
        </w:rPr>
        <w:t>都减持了100多亿元</w:t>
      </w:r>
      <w:r>
        <w:rPr>
          <w:rFonts w:hint="eastAsia" w:ascii="楷体" w:hAnsi="楷体" w:eastAsia="楷体" w:cs="楷体"/>
          <w:sz w:val="24"/>
          <w:szCs w:val="24"/>
          <w:lang w:eastAsia="zh-CN"/>
        </w:rPr>
        <w:t>，</w:t>
      </w:r>
      <w:r>
        <w:rPr>
          <w:rFonts w:hint="eastAsia" w:ascii="楷体" w:hAnsi="楷体" w:eastAsia="楷体" w:cs="楷体"/>
          <w:sz w:val="24"/>
          <w:szCs w:val="24"/>
        </w:rPr>
        <w:t>科技股也喜欢套现。综合起来看，</w:t>
      </w:r>
      <w:r>
        <w:rPr>
          <w:rFonts w:hint="eastAsia" w:ascii="楷体" w:hAnsi="楷体" w:eastAsia="楷体" w:cs="楷体"/>
          <w:b/>
          <w:bCs/>
          <w:sz w:val="24"/>
          <w:szCs w:val="24"/>
        </w:rPr>
        <w:t>医药股，科技股有较多大手笔的减持，与其高估值有很大的关系。</w:t>
      </w:r>
    </w:p>
    <w:p>
      <w:pPr>
        <w:adjustRightInd w:val="0"/>
        <w:spacing w:line="360" w:lineRule="auto"/>
        <w:ind w:firstLine="480" w:firstLineChars="200"/>
        <w:jc w:val="both"/>
        <w:rPr>
          <w:rFonts w:hint="eastAsia" w:ascii="楷体" w:hAnsi="楷体" w:eastAsia="楷体" w:cs="楷体"/>
          <w:sz w:val="24"/>
          <w:szCs w:val="24"/>
        </w:rPr>
      </w:pPr>
      <w:r>
        <w:rPr>
          <w:rFonts w:hint="eastAsia" w:ascii="楷体" w:hAnsi="楷体" w:eastAsia="楷体" w:cs="楷体"/>
          <w:sz w:val="24"/>
          <w:szCs w:val="24"/>
        </w:rPr>
        <w:t>我们假设这些大股东没有减持？以药明康德为例，如果当时大股东没有减持卖出180亿的股票，由于卖盘中少了180亿的卖出，所以药明康德的股价还会上涨，会出现比80倍市盈率更高的估值泡沫。</w:t>
      </w:r>
    </w:p>
    <w:p>
      <w:pPr>
        <w:adjustRightInd w:val="0"/>
        <w:spacing w:line="360" w:lineRule="auto"/>
        <w:ind w:firstLine="482" w:firstLineChars="200"/>
        <w:jc w:val="both"/>
        <w:rPr>
          <w:rFonts w:ascii="楷体" w:hAnsi="楷体" w:eastAsia="楷体" w:cs="楷体"/>
          <w:b/>
          <w:bCs/>
          <w:sz w:val="24"/>
          <w:szCs w:val="24"/>
        </w:rPr>
      </w:pPr>
      <w:r>
        <w:rPr>
          <w:rFonts w:hint="eastAsia" w:ascii="楷体" w:hAnsi="楷体" w:eastAsia="楷体" w:cs="楷体"/>
          <w:b/>
          <w:bCs/>
          <w:sz w:val="24"/>
          <w:szCs w:val="24"/>
        </w:rPr>
        <w:t>这就是真相，如果没有这些大股东减持泡沫会更严重！将来带来的下跌损失更多，大股东在高估值时减持的客观效果抑制了泡沫更进一步放大，防止出现更大风险，避免了更严重的泡沫化。虽然大股东高估值时减持的盈利来源于二级市场的投资人，但是二级市场投资人的钱有机会被大股东挣走的始作俑者责任方是谁呢？是大股东吗？不是！是二级市场有定价权的机构投资者。药明康德是中国机构投资者最主要的重仓股。</w:t>
      </w:r>
    </w:p>
    <w:p>
      <w:pPr>
        <w:adjustRightInd w:val="0"/>
        <w:spacing w:line="360" w:lineRule="auto"/>
        <w:ind w:firstLine="482" w:firstLineChars="200"/>
        <w:jc w:val="both"/>
        <w:rPr>
          <w:rFonts w:ascii="楷体" w:hAnsi="楷体" w:eastAsia="楷体" w:cs="楷体"/>
          <w:b/>
          <w:bCs/>
          <w:sz w:val="24"/>
          <w:szCs w:val="24"/>
        </w:rPr>
      </w:pPr>
      <w:r>
        <w:rPr>
          <w:rFonts w:hint="eastAsia" w:ascii="楷体" w:hAnsi="楷体" w:eastAsia="楷体" w:cs="楷体"/>
          <w:b/>
          <w:bCs/>
          <w:sz w:val="24"/>
          <w:szCs w:val="24"/>
        </w:rPr>
        <w:t>2021年药明康德机构持仓情况如下：</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right"/>
        <w:textAlignment w:val="auto"/>
        <w:rPr>
          <w:rFonts w:ascii="宋体" w:hAnsi="宋体" w:cs="宋体"/>
        </w:rPr>
      </w:pPr>
      <w:r>
        <w:drawing>
          <wp:inline distT="0" distB="0" distL="114300" distR="114300">
            <wp:extent cx="5730875" cy="2431415"/>
            <wp:effectExtent l="0" t="0" r="14605" b="698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2"/>
                    <a:stretch>
                      <a:fillRect/>
                    </a:stretch>
                  </pic:blipFill>
                  <pic:spPr>
                    <a:xfrm>
                      <a:off x="0" y="0"/>
                      <a:ext cx="5730875" cy="2431415"/>
                    </a:xfrm>
                    <a:prstGeom prst="rect">
                      <a:avLst/>
                    </a:prstGeom>
                    <a:noFill/>
                    <a:ln>
                      <a:noFill/>
                    </a:ln>
                  </pic:spPr>
                </pic:pic>
              </a:graphicData>
            </a:graphic>
          </wp:inline>
        </w:drawing>
      </w:r>
    </w:p>
    <w:p>
      <w:pPr>
        <w:adjustRightInd w:val="0"/>
        <w:spacing w:line="360" w:lineRule="auto"/>
        <w:ind w:firstLine="482" w:firstLineChars="200"/>
        <w:jc w:val="both"/>
        <w:rPr>
          <w:rFonts w:ascii="楷体" w:hAnsi="楷体" w:eastAsia="楷体" w:cs="楷体"/>
          <w:b/>
          <w:bCs/>
          <w:sz w:val="24"/>
          <w:szCs w:val="24"/>
        </w:rPr>
      </w:pPr>
      <w:r>
        <w:rPr>
          <w:rFonts w:hint="eastAsia" w:ascii="楷体" w:hAnsi="楷体" w:eastAsia="楷体" w:cs="楷体"/>
          <w:b/>
          <w:bCs/>
          <w:sz w:val="24"/>
          <w:szCs w:val="24"/>
        </w:rPr>
        <w:t>2022年药明康德机构持仓情况如下：</w:t>
      </w:r>
    </w:p>
    <w:p>
      <w:pPr>
        <w:keepNext w:val="0"/>
        <w:keepLines w:val="0"/>
        <w:pageBreakBefore w:val="0"/>
        <w:widowControl/>
        <w:shd w:val="clear" w:color="auto" w:fill="FFFFFF"/>
        <w:kinsoku/>
        <w:wordWrap/>
        <w:overflowPunct/>
        <w:topLinePunct w:val="0"/>
        <w:autoSpaceDE/>
        <w:autoSpaceDN/>
        <w:bidi w:val="0"/>
        <w:adjustRightInd w:val="0"/>
        <w:snapToGrid/>
        <w:spacing w:before="0" w:after="0" w:afterLines="50" w:line="240" w:lineRule="auto"/>
        <w:ind w:firstLine="0" w:firstLineChars="0"/>
        <w:jc w:val="right"/>
        <w:textAlignment w:val="auto"/>
        <w:rPr>
          <w:rFonts w:ascii="楷体" w:hAnsi="楷体" w:eastAsia="楷体" w:cs="楷体"/>
          <w:b/>
          <w:bCs/>
        </w:rPr>
      </w:pPr>
      <w:r>
        <w:drawing>
          <wp:inline distT="0" distB="0" distL="114300" distR="114300">
            <wp:extent cx="5729605" cy="2676525"/>
            <wp:effectExtent l="0" t="0" r="635" b="571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3"/>
                    <a:stretch>
                      <a:fillRect/>
                    </a:stretch>
                  </pic:blipFill>
                  <pic:spPr>
                    <a:xfrm>
                      <a:off x="0" y="0"/>
                      <a:ext cx="5729605" cy="2676525"/>
                    </a:xfrm>
                    <a:prstGeom prst="rect">
                      <a:avLst/>
                    </a:prstGeom>
                    <a:noFill/>
                    <a:ln>
                      <a:noFill/>
                    </a:ln>
                  </pic:spPr>
                </pic:pic>
              </a:graphicData>
            </a:graphic>
          </wp:inline>
        </w:drawing>
      </w:r>
    </w:p>
    <w:p>
      <w:pPr>
        <w:adjustRightInd w:val="0"/>
        <w:spacing w:line="360" w:lineRule="auto"/>
        <w:ind w:firstLine="482" w:firstLineChars="200"/>
        <w:jc w:val="both"/>
        <w:rPr>
          <w:rFonts w:ascii="楷体" w:hAnsi="楷体" w:eastAsia="楷体" w:cs="楷体"/>
          <w:b/>
          <w:bCs/>
        </w:rPr>
      </w:pPr>
      <w:r>
        <w:rPr>
          <w:rFonts w:hint="eastAsia" w:ascii="楷体" w:hAnsi="楷体" w:eastAsia="楷体" w:cs="楷体"/>
          <w:b/>
          <w:bCs/>
          <w:sz w:val="24"/>
          <w:szCs w:val="24"/>
        </w:rPr>
        <w:t>2023年药明康德机构持仓情况如下：</w:t>
      </w:r>
    </w:p>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textAlignment w:val="auto"/>
        <w:rPr>
          <w:rFonts w:ascii="宋体" w:hAnsi="宋体" w:cs="宋体"/>
        </w:rPr>
      </w:pPr>
      <w:r>
        <w:drawing>
          <wp:inline distT="0" distB="0" distL="114300" distR="114300">
            <wp:extent cx="5725795" cy="2893060"/>
            <wp:effectExtent l="0" t="0" r="4445" b="254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4"/>
                    <a:stretch>
                      <a:fillRect/>
                    </a:stretch>
                  </pic:blipFill>
                  <pic:spPr>
                    <a:xfrm>
                      <a:off x="0" y="0"/>
                      <a:ext cx="5725795" cy="2893060"/>
                    </a:xfrm>
                    <a:prstGeom prst="rect">
                      <a:avLst/>
                    </a:prstGeom>
                    <a:noFill/>
                    <a:ln>
                      <a:noFill/>
                    </a:ln>
                  </pic:spPr>
                </pic:pic>
              </a:graphicData>
            </a:graphic>
          </wp:inline>
        </w:drawing>
      </w:r>
    </w:p>
    <w:p>
      <w:pPr>
        <w:adjustRightInd w:val="0"/>
        <w:spacing w:line="360" w:lineRule="auto"/>
        <w:ind w:firstLine="482" w:firstLineChars="200"/>
        <w:jc w:val="both"/>
        <w:rPr>
          <w:rFonts w:ascii="楷体" w:hAnsi="楷体" w:eastAsia="楷体" w:cs="楷体"/>
          <w:b/>
          <w:bCs/>
          <w:sz w:val="24"/>
          <w:szCs w:val="24"/>
        </w:rPr>
      </w:pPr>
      <w:r>
        <w:rPr>
          <w:rFonts w:hint="eastAsia" w:ascii="楷体" w:hAnsi="楷体" w:eastAsia="楷体" w:cs="楷体"/>
          <w:b/>
          <w:bCs/>
          <w:sz w:val="24"/>
          <w:szCs w:val="24"/>
        </w:rPr>
        <w:t>可以看出，从2021年到2023年，机构对药明康德持仓占总股本都在50%以上，占流通股的60%以上。</w:t>
      </w:r>
    </w:p>
    <w:p>
      <w:pPr>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2024年初，当药明康德大幅下跌到20多倍市盈率的时候，上市公司开始回购！</w:t>
      </w:r>
    </w:p>
    <w:p>
      <w:pPr>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药明康德大股东进行减持主要发生在2021年6月至2021年9月，以及2023年8月至2023年11月。</w:t>
      </w:r>
    </w:p>
    <w:p>
      <w:pPr>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以下是药明康德大股东在2021年的减持明细：</w:t>
      </w:r>
    </w:p>
    <w:p>
      <w:pPr>
        <w:adjustRightInd w:val="0"/>
        <w:spacing w:line="360" w:lineRule="auto"/>
        <w:jc w:val="both"/>
        <w:rPr>
          <w:rFonts w:ascii="楷体" w:hAnsi="楷体" w:eastAsia="楷体" w:cs="楷体"/>
        </w:rPr>
      </w:pPr>
      <w:r>
        <w:drawing>
          <wp:inline distT="0" distB="0" distL="114300" distR="114300">
            <wp:extent cx="5727700" cy="7034530"/>
            <wp:effectExtent l="0" t="0" r="2540" b="635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25"/>
                    <a:stretch>
                      <a:fillRect/>
                    </a:stretch>
                  </pic:blipFill>
                  <pic:spPr>
                    <a:xfrm>
                      <a:off x="0" y="0"/>
                      <a:ext cx="5727700" cy="70345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楷体" w:hAnsi="楷体" w:eastAsia="楷体" w:cs="楷体"/>
          <w:sz w:val="24"/>
          <w:szCs w:val="24"/>
        </w:rPr>
      </w:pPr>
      <w:r>
        <w:rPr>
          <w:rFonts w:hint="eastAsia" w:ascii="楷体" w:hAnsi="楷体" w:eastAsia="楷体" w:cs="楷体"/>
          <w:sz w:val="24"/>
          <w:szCs w:val="24"/>
        </w:rPr>
        <w:t>以下是药明康德大股东在2023年的减持明细：</w:t>
      </w:r>
    </w:p>
    <w:p>
      <w:pPr>
        <w:pStyle w:val="6"/>
        <w:keepNext w:val="0"/>
        <w:keepLines w:val="0"/>
        <w:pageBreakBefore w:val="0"/>
        <w:widowControl w:val="0"/>
        <w:kinsoku/>
        <w:wordWrap/>
        <w:overflowPunct/>
        <w:topLinePunct w:val="0"/>
        <w:autoSpaceDE/>
        <w:autoSpaceDN/>
        <w:bidi w:val="0"/>
        <w:adjustRightInd w:val="0"/>
        <w:snapToGrid/>
        <w:spacing w:before="0" w:beforeLines="50" w:line="240" w:lineRule="auto"/>
        <w:jc w:val="left"/>
        <w:textAlignment w:val="auto"/>
        <w:rPr>
          <w:rFonts w:ascii="宋体" w:hAnsi="宋体" w:cs="宋体"/>
        </w:rPr>
      </w:pPr>
      <w:r>
        <w:drawing>
          <wp:inline distT="0" distB="0" distL="114300" distR="114300">
            <wp:extent cx="5727065" cy="3910965"/>
            <wp:effectExtent l="0" t="0" r="3175" b="571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26"/>
                    <a:stretch>
                      <a:fillRect/>
                    </a:stretch>
                  </pic:blipFill>
                  <pic:spPr>
                    <a:xfrm>
                      <a:off x="0" y="0"/>
                      <a:ext cx="5727065" cy="3910965"/>
                    </a:xfrm>
                    <a:prstGeom prst="rect">
                      <a:avLst/>
                    </a:prstGeom>
                    <a:noFill/>
                    <a:ln>
                      <a:noFill/>
                    </a:ln>
                  </pic:spPr>
                </pic:pic>
              </a:graphicData>
            </a:graphic>
          </wp:inline>
        </w:drawing>
      </w:r>
    </w:p>
    <w:p>
      <w:pPr>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药明康德于2024年进行了多次股份回购，以下是其回购股份的明细：</w:t>
      </w:r>
    </w:p>
    <w:p>
      <w:pPr>
        <w:adjustRightInd w:val="0"/>
        <w:spacing w:line="360" w:lineRule="auto"/>
        <w:ind w:firstLine="480" w:firstLineChars="200"/>
        <w:jc w:val="both"/>
        <w:rPr>
          <w:rFonts w:ascii="楷体" w:hAnsi="楷体" w:eastAsia="楷体" w:cs="楷体"/>
          <w:i/>
          <w:iCs/>
          <w:sz w:val="24"/>
          <w:szCs w:val="24"/>
        </w:rPr>
      </w:pPr>
      <w:r>
        <w:rPr>
          <w:rFonts w:hint="eastAsia" w:ascii="楷体" w:hAnsi="楷体" w:eastAsia="楷体" w:cs="楷体"/>
          <w:i/>
          <w:iCs/>
          <w:sz w:val="24"/>
          <w:szCs w:val="24"/>
        </w:rPr>
        <w:t>2024年2月5日，药明康德通过集中竞价交易方式首次实施回购公司股份。此次回购股份数为20,275,407股，占公司截至公告日总股本的0.69%。回购最高价格为51.72元/股，回购最低价格为46.50元/股，回购均价为49.321元/股。此次回购使用的资金总额为10亿元（不含交易费用）。回购的股份将暂存于公司股份回购专用账户中，并按照相关规定及本次回购股份方案予以注销。</w:t>
      </w:r>
    </w:p>
    <w:p>
      <w:pPr>
        <w:adjustRightInd w:val="0"/>
        <w:spacing w:line="360" w:lineRule="auto"/>
        <w:ind w:firstLine="480" w:firstLineChars="200"/>
        <w:jc w:val="both"/>
        <w:rPr>
          <w:rFonts w:ascii="楷体" w:hAnsi="楷体" w:eastAsia="楷体" w:cs="楷体"/>
          <w:i/>
          <w:iCs/>
          <w:sz w:val="24"/>
          <w:szCs w:val="24"/>
        </w:rPr>
      </w:pPr>
      <w:r>
        <w:rPr>
          <w:rFonts w:hint="eastAsia" w:ascii="楷体" w:hAnsi="楷体" w:eastAsia="楷体" w:cs="楷体"/>
          <w:i/>
          <w:iCs/>
          <w:sz w:val="24"/>
          <w:szCs w:val="24"/>
        </w:rPr>
        <w:t>2024年4月3日，药明康德再次发布公告称，以约2004.91万元的资金回购</w:t>
      </w:r>
      <w:r>
        <w:rPr>
          <w:rFonts w:hint="eastAsia" w:ascii="楷体" w:hAnsi="楷体" w:eastAsia="楷体" w:cs="楷体"/>
          <w:i/>
          <w:iCs/>
          <w:sz w:val="24"/>
          <w:szCs w:val="24"/>
          <w:lang w:eastAsia="zh"/>
        </w:rPr>
        <w:t>A股</w:t>
      </w:r>
      <w:r>
        <w:rPr>
          <w:rFonts w:hint="eastAsia" w:ascii="楷体" w:hAnsi="楷体" w:eastAsia="楷体" w:cs="楷体"/>
          <w:i/>
          <w:iCs/>
          <w:sz w:val="24"/>
          <w:szCs w:val="24"/>
        </w:rPr>
        <w:t>42.33万股，每股回购价格区间为46.84</w:t>
      </w:r>
      <w:r>
        <w:rPr>
          <w:rFonts w:hint="eastAsia" w:ascii="楷体" w:hAnsi="楷体" w:eastAsia="楷体" w:cs="楷体"/>
          <w:sz w:val="22"/>
          <w:szCs w:val="22"/>
          <w:lang w:eastAsia="zh-CN"/>
        </w:rPr>
        <w:t>～</w:t>
      </w:r>
      <w:r>
        <w:rPr>
          <w:rFonts w:hint="eastAsia" w:ascii="楷体" w:hAnsi="楷体" w:eastAsia="楷体" w:cs="楷体"/>
          <w:i/>
          <w:iCs/>
          <w:sz w:val="24"/>
          <w:szCs w:val="24"/>
        </w:rPr>
        <w:t>47.86元。</w:t>
      </w:r>
    </w:p>
    <w:p>
      <w:pPr>
        <w:adjustRightInd w:val="0"/>
        <w:spacing w:line="360" w:lineRule="auto"/>
        <w:ind w:firstLine="480" w:firstLineChars="200"/>
        <w:jc w:val="both"/>
        <w:rPr>
          <w:rFonts w:hint="eastAsia" w:ascii="楷体" w:hAnsi="楷体" w:eastAsia="楷体" w:cs="楷体"/>
          <w:i/>
          <w:iCs/>
          <w:sz w:val="24"/>
          <w:szCs w:val="24"/>
        </w:rPr>
      </w:pPr>
      <w:r>
        <w:rPr>
          <w:rFonts w:hint="eastAsia" w:ascii="楷体" w:hAnsi="楷体" w:eastAsia="楷体" w:cs="楷体"/>
          <w:i/>
          <w:iCs/>
          <w:sz w:val="24"/>
          <w:szCs w:val="24"/>
        </w:rPr>
        <w:t>紧接着在2024年4月9日，药明康德又斥资约2004.62万元回购43.54万股</w:t>
      </w:r>
      <w:r>
        <w:rPr>
          <w:rFonts w:hint="eastAsia" w:ascii="楷体" w:hAnsi="楷体" w:eastAsia="楷体" w:cs="楷体"/>
          <w:i/>
          <w:iCs/>
          <w:sz w:val="24"/>
          <w:szCs w:val="24"/>
          <w:lang w:eastAsia="zh"/>
        </w:rPr>
        <w:t>A股</w:t>
      </w:r>
      <w:r>
        <w:rPr>
          <w:rFonts w:hint="eastAsia" w:ascii="楷体" w:hAnsi="楷体" w:eastAsia="楷体" w:cs="楷体"/>
          <w:i/>
          <w:iCs/>
          <w:sz w:val="24"/>
          <w:szCs w:val="24"/>
        </w:rPr>
        <w:t>，回购价格为每股人民币44.95</w:t>
      </w:r>
      <w:r>
        <w:rPr>
          <w:rFonts w:hint="eastAsia" w:ascii="楷体" w:hAnsi="楷体" w:eastAsia="楷体" w:cs="楷体"/>
          <w:sz w:val="22"/>
          <w:szCs w:val="22"/>
          <w:lang w:eastAsia="zh-CN"/>
        </w:rPr>
        <w:t>～</w:t>
      </w:r>
      <w:r>
        <w:rPr>
          <w:rFonts w:hint="eastAsia" w:ascii="楷体" w:hAnsi="楷体" w:eastAsia="楷体" w:cs="楷体"/>
          <w:i/>
          <w:iCs/>
          <w:sz w:val="24"/>
          <w:szCs w:val="24"/>
        </w:rPr>
        <w:t>47.05元。</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楷体" w:hAnsi="楷体" w:eastAsia="楷体" w:cs="楷体"/>
          <w:b/>
          <w:bCs/>
          <w:lang w:val="en-US"/>
        </w:rPr>
      </w:pPr>
      <w:r>
        <w:drawing>
          <wp:inline distT="0" distB="0" distL="114300" distR="114300">
            <wp:extent cx="5729605" cy="3513455"/>
            <wp:effectExtent l="0" t="0" r="635" b="698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7"/>
                    <a:stretch>
                      <a:fillRect/>
                    </a:stretch>
                  </pic:blipFill>
                  <pic:spPr>
                    <a:xfrm>
                      <a:off x="0" y="0"/>
                      <a:ext cx="5729605" cy="3513455"/>
                    </a:xfrm>
                    <a:prstGeom prst="rect">
                      <a:avLst/>
                    </a:prstGeom>
                    <a:noFill/>
                    <a:ln>
                      <a:noFill/>
                    </a:ln>
                  </pic:spPr>
                </pic:pic>
              </a:graphicData>
            </a:graphic>
          </wp:inline>
        </w:drawing>
      </w:r>
    </w:p>
    <w:p>
      <w:pPr>
        <w:adjustRightInd w:val="0"/>
        <w:spacing w:line="360" w:lineRule="auto"/>
        <w:ind w:firstLine="482" w:firstLineChars="200"/>
        <w:jc w:val="both"/>
        <w:rPr>
          <w:rFonts w:ascii="楷体" w:hAnsi="楷体" w:eastAsia="楷体" w:cs="楷体"/>
          <w:b/>
          <w:bCs/>
          <w:sz w:val="24"/>
          <w:szCs w:val="24"/>
        </w:rPr>
      </w:pPr>
      <w:r>
        <w:rPr>
          <w:rFonts w:hint="eastAsia" w:ascii="楷体" w:hAnsi="楷体" w:eastAsia="楷体" w:cs="楷体"/>
          <w:b/>
          <w:bCs/>
          <w:sz w:val="24"/>
          <w:szCs w:val="24"/>
        </w:rPr>
        <w:t>同样的股票80倍市盈率大股东减持，在15倍市盈率上市公司进行回购。估值变化过程中大股东的行为也变化！大股东的减持还是回购，现在的事实和数据是：主要是决定于估值水平。减持还是回购强烈的关联决定于估值水平。</w:t>
      </w:r>
    </w:p>
    <w:p>
      <w:pPr>
        <w:adjustRightInd w:val="0"/>
        <w:spacing w:line="360" w:lineRule="auto"/>
        <w:ind w:firstLine="482" w:firstLineChars="200"/>
        <w:jc w:val="both"/>
        <w:rPr>
          <w:rFonts w:ascii="楷体" w:hAnsi="楷体" w:eastAsia="楷体" w:cs="楷体"/>
          <w:b/>
          <w:bCs/>
          <w:sz w:val="24"/>
          <w:szCs w:val="24"/>
        </w:rPr>
      </w:pPr>
      <w:r>
        <w:rPr>
          <w:rFonts w:hint="eastAsia" w:ascii="楷体" w:hAnsi="楷体" w:eastAsia="楷体" w:cs="楷体"/>
          <w:b/>
          <w:bCs/>
          <w:sz w:val="24"/>
          <w:szCs w:val="24"/>
        </w:rPr>
        <w:t>通过制造泡沫吸引大众收割大众的割韭菜盈利模式的始作俑者，为吸引大众把估值推到大股东都无法忍受必须减持的高泡沫区域，他们不是不知道高估值的风险</w:t>
      </w:r>
      <w:r>
        <w:rPr>
          <w:rFonts w:hint="eastAsia" w:ascii="楷体" w:hAnsi="楷体" w:eastAsia="楷体" w:cs="楷体"/>
          <w:b/>
          <w:bCs/>
          <w:sz w:val="24"/>
          <w:szCs w:val="24"/>
          <w:lang w:eastAsia="zh-CN"/>
        </w:rPr>
        <w:t>，而</w:t>
      </w:r>
      <w:r>
        <w:rPr>
          <w:rFonts w:hint="eastAsia" w:ascii="楷体" w:hAnsi="楷体" w:eastAsia="楷体" w:cs="楷体"/>
          <w:b/>
          <w:bCs/>
          <w:sz w:val="24"/>
          <w:szCs w:val="24"/>
        </w:rPr>
        <w:t>是他们盈利模式需要制造重仓股的泡沫，这是带</w:t>
      </w:r>
      <w:r>
        <w:rPr>
          <w:rFonts w:hint="eastAsia" w:ascii="楷体" w:hAnsi="楷体" w:eastAsia="楷体" w:cs="楷体"/>
          <w:b/>
          <w:bCs/>
          <w:sz w:val="24"/>
          <w:szCs w:val="24"/>
          <w:lang w:eastAsia="zh-CN"/>
        </w:rPr>
        <w:t>“</w:t>
      </w:r>
      <w:r>
        <w:rPr>
          <w:rFonts w:hint="eastAsia" w:ascii="楷体" w:hAnsi="楷体" w:eastAsia="楷体" w:cs="楷体"/>
          <w:b/>
          <w:bCs/>
          <w:sz w:val="24"/>
          <w:szCs w:val="24"/>
        </w:rPr>
        <w:t>毒</w:t>
      </w:r>
      <w:r>
        <w:rPr>
          <w:rFonts w:hint="eastAsia" w:ascii="楷体" w:hAnsi="楷体" w:eastAsia="楷体" w:cs="楷体"/>
          <w:b/>
          <w:bCs/>
          <w:sz w:val="24"/>
          <w:szCs w:val="24"/>
          <w:lang w:eastAsia="zh-CN"/>
        </w:rPr>
        <w:t>”</w:t>
      </w:r>
      <w:r>
        <w:rPr>
          <w:rFonts w:hint="eastAsia" w:ascii="楷体" w:hAnsi="楷体" w:eastAsia="楷体" w:cs="楷体"/>
          <w:b/>
          <w:bCs/>
          <w:sz w:val="24"/>
          <w:szCs w:val="24"/>
        </w:rPr>
        <w:t>的割韭菜盈利模式的内在需要。在这个过程中，社会大众是没有办法制衡机构投资者的，而大股东在高估值出现后大量的减持，是制衡这些制造泡沫的机构投资者，是抑制泡沫。没有高估值就没有大股东减持，高估值是大股东减持根源。真正的罪魁祸首和责任方是二级市场上那些有定价权的制造泡沫的机构投资者。如果没有大股东减持泡沫更严重，最终跌下来造成的财产损失更多。</w:t>
      </w:r>
    </w:p>
    <w:p>
      <w:pPr>
        <w:shd w:val="clear" w:color="auto" w:fill="FFFFFF"/>
        <w:adjustRightInd w:val="0"/>
        <w:spacing w:line="360" w:lineRule="auto"/>
        <w:ind w:firstLine="482" w:firstLineChars="200"/>
        <w:jc w:val="both"/>
        <w:rPr>
          <w:rFonts w:hint="eastAsia" w:ascii="楷体" w:hAnsi="楷体" w:eastAsia="楷体" w:cs="楷体"/>
          <w:b/>
          <w:bCs/>
          <w:sz w:val="24"/>
          <w:szCs w:val="24"/>
          <w:shd w:val="clear" w:color="auto" w:fill="FFFFFF"/>
          <w:lang w:eastAsia="zh" w:bidi="ar"/>
        </w:rPr>
      </w:pPr>
      <w:r>
        <w:rPr>
          <w:rFonts w:hint="eastAsia" w:ascii="楷体" w:hAnsi="楷体" w:eastAsia="楷体" w:cs="楷体"/>
          <w:b/>
          <w:bCs/>
          <w:sz w:val="24"/>
          <w:szCs w:val="24"/>
          <w:shd w:val="clear" w:color="auto" w:fill="FFFFFF"/>
          <w:lang w:bidi="ar"/>
        </w:rPr>
        <w:t>几十年来，长期困难重重危机是否周期性崩溃的中国股市引发全中国人的思考和追问，是什么原因让中国股市出现了这么严重的问题</w:t>
      </w:r>
      <w:r>
        <w:rPr>
          <w:rFonts w:hint="eastAsia" w:ascii="楷体" w:hAnsi="楷体" w:eastAsia="楷体" w:cs="楷体"/>
          <w:b/>
          <w:bCs/>
          <w:sz w:val="24"/>
          <w:szCs w:val="24"/>
          <w:shd w:val="clear" w:color="auto" w:fill="FFFFFF"/>
          <w:lang w:eastAsia="zh" w:bidi="ar"/>
        </w:rPr>
        <w:t>？</w:t>
      </w:r>
    </w:p>
    <w:p>
      <w:pPr>
        <w:shd w:val="clear" w:color="auto" w:fill="FFFFFF"/>
        <w:adjustRightInd w:val="0"/>
        <w:spacing w:line="360" w:lineRule="auto"/>
        <w:ind w:firstLine="482" w:firstLineChars="200"/>
        <w:jc w:val="both"/>
        <w:rPr>
          <w:rFonts w:ascii="楷体" w:hAnsi="楷体" w:eastAsia="楷体" w:cs="楷体"/>
          <w:b/>
          <w:bCs/>
          <w:sz w:val="24"/>
          <w:szCs w:val="24"/>
          <w:shd w:val="clear" w:color="auto" w:fill="FFFFFF"/>
          <w:lang w:bidi="ar"/>
        </w:rPr>
      </w:pPr>
      <w:r>
        <w:rPr>
          <w:rFonts w:hint="eastAsia" w:ascii="楷体" w:hAnsi="楷体" w:eastAsia="楷体" w:cs="楷体"/>
          <w:b/>
          <w:bCs/>
          <w:sz w:val="24"/>
          <w:szCs w:val="24"/>
          <w:shd w:val="clear" w:color="auto" w:fill="FFFFFF"/>
          <w:lang w:bidi="ar"/>
        </w:rPr>
        <w:t>今天市场和社会共识最高的答案是中国股市的困难，主要是作为股市基础的上市公司治理、上市公司的数据真实性、上市公司在发行过程中定价过高、交易过程中大股东高价减持。主流的观点认为中国股票市场的长期困难责任是由上市公司、大股东们造成的。这就是中国股市问题长期解决不了的原因之一，因为对病症的根源诊断发生了错误，所以施救的过程无法对症下药，病就好不了。</w:t>
      </w:r>
    </w:p>
    <w:p>
      <w:pPr>
        <w:shd w:val="clear" w:color="auto" w:fill="FFFFFF"/>
        <w:adjustRightInd w:val="0"/>
        <w:spacing w:line="360" w:lineRule="auto"/>
        <w:ind w:firstLine="482" w:firstLineChars="200"/>
        <w:jc w:val="both"/>
        <w:rPr>
          <w:rFonts w:hint="eastAsia" w:ascii="楷体" w:hAnsi="楷体" w:eastAsia="楷体" w:cs="楷体"/>
          <w:b/>
          <w:bCs/>
          <w:sz w:val="24"/>
          <w:szCs w:val="24"/>
        </w:rPr>
      </w:pPr>
      <w:r>
        <w:rPr>
          <w:rFonts w:hint="eastAsia" w:ascii="楷体" w:hAnsi="楷体" w:eastAsia="楷体" w:cs="楷体"/>
          <w:b/>
          <w:bCs/>
          <w:sz w:val="24"/>
          <w:szCs w:val="24"/>
        </w:rPr>
        <w:t>把二级市场上出现的大股东高位减持视为市场周期性崩溃的原因</w:t>
      </w:r>
      <w:r>
        <w:rPr>
          <w:rFonts w:hint="eastAsia" w:ascii="楷体" w:hAnsi="楷体" w:eastAsia="楷体" w:cs="楷体"/>
          <w:b/>
          <w:bCs/>
          <w:sz w:val="24"/>
          <w:szCs w:val="24"/>
          <w:lang w:eastAsia="zh"/>
        </w:rPr>
        <w:t>，这是</w:t>
      </w:r>
      <w:r>
        <w:rPr>
          <w:rFonts w:hint="eastAsia" w:ascii="楷体" w:hAnsi="楷体" w:eastAsia="楷体" w:cs="楷体"/>
          <w:b/>
          <w:bCs/>
          <w:sz w:val="24"/>
          <w:szCs w:val="24"/>
        </w:rPr>
        <w:t>没有透过现象看本质！本质是二级市场的机构投资者基于自身割韭菜盈利模式人为制造泡沫，导致二级市场的股价发生严重的错误高估，错误定价引发大股东的减持行为。</w:t>
      </w:r>
    </w:p>
    <w:p>
      <w:pPr>
        <w:shd w:val="clear" w:color="auto" w:fill="FFFFFF"/>
        <w:adjustRightInd w:val="0"/>
        <w:spacing w:line="360" w:lineRule="auto"/>
        <w:ind w:firstLine="482" w:firstLineChars="200"/>
        <w:jc w:val="both"/>
        <w:rPr>
          <w:rFonts w:hint="eastAsia" w:ascii="楷体" w:hAnsi="楷体" w:eastAsia="楷体" w:cs="楷体"/>
          <w:b/>
          <w:bCs/>
          <w:sz w:val="24"/>
          <w:szCs w:val="24"/>
          <w:shd w:val="clear" w:color="auto" w:fill="FFFFFF"/>
          <w:lang w:bidi="ar"/>
        </w:rPr>
      </w:pPr>
      <w:r>
        <w:rPr>
          <w:rFonts w:hint="eastAsia" w:ascii="楷体" w:hAnsi="楷体" w:eastAsia="楷体" w:cs="楷体"/>
          <w:b/>
          <w:bCs/>
          <w:sz w:val="24"/>
          <w:szCs w:val="24"/>
          <w:shd w:val="clear" w:color="auto" w:fill="FFFFFF"/>
          <w:lang w:bidi="ar"/>
        </w:rPr>
        <w:t>高估值才是罪魁祸首。</w:t>
      </w:r>
    </w:p>
    <w:p>
      <w:pPr>
        <w:shd w:val="clear" w:color="auto" w:fill="FFFFFF"/>
        <w:adjustRightInd w:val="0"/>
        <w:spacing w:line="360" w:lineRule="auto"/>
        <w:ind w:firstLine="482" w:firstLineChars="200"/>
        <w:jc w:val="both"/>
        <w:rPr>
          <w:rFonts w:hint="eastAsia" w:ascii="楷体" w:hAnsi="楷体" w:eastAsia="楷体" w:cs="楷体"/>
          <w:b/>
          <w:bCs/>
          <w:sz w:val="24"/>
          <w:szCs w:val="24"/>
          <w:shd w:val="clear" w:color="auto" w:fill="FFFFFF"/>
          <w:lang w:bidi="ar"/>
        </w:rPr>
      </w:pPr>
      <w:r>
        <w:rPr>
          <w:rFonts w:hint="eastAsia" w:ascii="楷体" w:hAnsi="楷体" w:eastAsia="楷体" w:cs="楷体"/>
          <w:b/>
          <w:bCs/>
          <w:sz w:val="24"/>
          <w:szCs w:val="24"/>
          <w:shd w:val="clear" w:color="auto" w:fill="FFFFFF"/>
          <w:lang w:bidi="ar"/>
        </w:rPr>
        <w:t>高估值是有定价权的机构投资者决定的，所以真正的罪魁祸首是二级市场的制造泡沫收割社会大众的机构投资者。</w:t>
      </w:r>
    </w:p>
    <w:p>
      <w:pPr>
        <w:shd w:val="clear" w:color="auto" w:fill="FFFFFF"/>
        <w:adjustRightInd w:val="0"/>
        <w:spacing w:line="360" w:lineRule="auto"/>
        <w:ind w:firstLine="482" w:firstLineChars="200"/>
        <w:jc w:val="both"/>
        <w:rPr>
          <w:rFonts w:hint="eastAsia" w:ascii="楷体" w:hAnsi="楷体" w:eastAsia="楷体" w:cs="楷体"/>
          <w:b/>
          <w:bCs/>
          <w:sz w:val="24"/>
          <w:szCs w:val="24"/>
          <w:shd w:val="clear" w:color="auto" w:fill="FFFFFF"/>
          <w:lang w:bidi="ar"/>
        </w:rPr>
      </w:pPr>
    </w:p>
    <w:p>
      <w:pPr>
        <w:pStyle w:val="2"/>
        <w:adjustRightInd w:val="0"/>
        <w:ind w:firstLine="720" w:firstLineChars="200"/>
        <w:rPr>
          <w:rFonts w:hint="default"/>
          <w:szCs w:val="30"/>
          <w:lang w:val="en-US" w:eastAsia="zh-CN"/>
        </w:rPr>
      </w:pPr>
      <w:bookmarkStart w:id="5" w:name="_Toc26254"/>
      <w:r>
        <w:rPr>
          <w:rFonts w:hint="eastAsia"/>
          <w:szCs w:val="30"/>
          <w:lang w:val="en-US" w:eastAsia="zh-CN"/>
        </w:rPr>
        <w:t>四、二级市场机构投资者行为表现</w:t>
      </w:r>
      <w:bookmarkEnd w:id="5"/>
    </w:p>
    <w:p>
      <w:pPr>
        <w:pStyle w:val="3"/>
        <w:adjustRightInd w:val="0"/>
        <w:ind w:firstLine="640" w:firstLineChars="200"/>
        <w:rPr>
          <w:rFonts w:hint="eastAsia" w:ascii="楷体" w:hAnsi="楷体" w:eastAsia="楷体" w:cs="楷体"/>
          <w:b/>
          <w:bCs/>
          <w:sz w:val="24"/>
          <w:szCs w:val="24"/>
        </w:rPr>
      </w:pPr>
      <w:bookmarkStart w:id="6" w:name="_Toc4958"/>
      <w:r>
        <w:rPr>
          <w:szCs w:val="30"/>
        </w:rPr>
        <w:t>（一）庄家时代VS公募时代</w:t>
      </w:r>
      <w:bookmarkEnd w:id="6"/>
    </w:p>
    <w:p>
      <w:pPr>
        <w:adjustRightInd w:val="0"/>
        <w:spacing w:line="360" w:lineRule="auto"/>
        <w:ind w:firstLine="482" w:firstLineChars="200"/>
        <w:rPr>
          <w:rFonts w:hint="eastAsia" w:ascii="楷体" w:hAnsi="楷体" w:eastAsia="楷体" w:cs="楷体"/>
          <w:b/>
          <w:bCs/>
          <w:sz w:val="24"/>
          <w:szCs w:val="24"/>
        </w:rPr>
      </w:pPr>
      <w:r>
        <w:rPr>
          <w:rFonts w:hint="eastAsia" w:ascii="楷体" w:hAnsi="楷体" w:eastAsia="楷体" w:cs="楷体"/>
          <w:b/>
          <w:bCs/>
          <w:sz w:val="24"/>
          <w:szCs w:val="24"/>
        </w:rPr>
        <w:t>中国股市自1990年开张以来就形成了一句股谚：“炒股要听党的话！”。在2000年前，中国股市没有公开募集的公募机构，市场定价权掌握在以炒作为主的庄家手里，那时中央的政策一经发布，市场立即作出反应。</w:t>
      </w:r>
    </w:p>
    <w:p>
      <w:pPr>
        <w:adjustRightInd w:val="0"/>
        <w:spacing w:line="360" w:lineRule="auto"/>
        <w:ind w:firstLine="482" w:firstLineChars="200"/>
        <w:rPr>
          <w:rFonts w:ascii="楷体" w:hAnsi="楷体" w:eastAsia="楷体" w:cs="楷体"/>
          <w:b/>
          <w:bCs/>
          <w:sz w:val="24"/>
          <w:szCs w:val="24"/>
        </w:rPr>
      </w:pPr>
      <w:r>
        <w:rPr>
          <w:rFonts w:hint="eastAsia" w:ascii="楷体" w:hAnsi="楷体" w:eastAsia="楷体" w:cs="楷体"/>
          <w:b/>
          <w:bCs/>
          <w:sz w:val="24"/>
          <w:szCs w:val="24"/>
        </w:rPr>
        <w:t>为什么对社会和市场有不利影响的庄家，对中央政策的反应既快且灵敏，而由政策培养起来的设置了党委和支部书记的公募基金，对待高层正确的战略，反倒不如庄家时代的庄家积极响应？</w:t>
      </w:r>
    </w:p>
    <w:p>
      <w:pPr>
        <w:adjustRightInd w:val="0"/>
        <w:spacing w:line="360" w:lineRule="auto"/>
        <w:ind w:firstLine="482" w:firstLineChars="200"/>
        <w:jc w:val="both"/>
        <w:rPr>
          <w:rFonts w:ascii="楷体" w:hAnsi="楷体" w:eastAsia="楷体" w:cs="楷体"/>
          <w:sz w:val="24"/>
          <w:szCs w:val="24"/>
        </w:rPr>
      </w:pPr>
      <w:r>
        <w:rPr>
          <w:rStyle w:val="16"/>
          <w:rFonts w:hint="eastAsia" w:ascii="楷体" w:hAnsi="楷体" w:eastAsia="楷体" w:cs="楷体"/>
          <w:bCs/>
          <w:sz w:val="24"/>
          <w:szCs w:val="24"/>
        </w:rPr>
        <w:t>2002年中国出现第一只公募基金，使得2002年成为分水岭，2002年前可以称之为庄家时代，2002年后到现在可以称之为公募时代。</w:t>
      </w:r>
      <w:r>
        <w:rPr>
          <w:rFonts w:hint="eastAsia" w:ascii="楷体" w:hAnsi="楷体" w:eastAsia="楷体" w:cs="楷体"/>
          <w:sz w:val="24"/>
          <w:szCs w:val="24"/>
        </w:rPr>
        <w:t>现在我们把上证指数以2002年为分水岭一分为二。1990年到2002年底为</w:t>
      </w:r>
      <w:r>
        <w:rPr>
          <w:rFonts w:hint="eastAsia" w:ascii="楷体" w:hAnsi="楷体" w:eastAsia="楷体" w:cs="楷体"/>
          <w:b/>
          <w:bCs/>
          <w:sz w:val="24"/>
          <w:szCs w:val="24"/>
        </w:rPr>
        <w:t>庄家时代</w:t>
      </w:r>
      <w:r>
        <w:rPr>
          <w:rFonts w:hint="eastAsia" w:ascii="楷体" w:hAnsi="楷体" w:eastAsia="楷体" w:cs="楷体"/>
          <w:sz w:val="24"/>
          <w:szCs w:val="24"/>
        </w:rPr>
        <w:t>，2002年到2024为</w:t>
      </w:r>
      <w:r>
        <w:rPr>
          <w:rFonts w:hint="eastAsia" w:ascii="楷体" w:hAnsi="楷体" w:eastAsia="楷体" w:cs="楷体"/>
          <w:b/>
          <w:bCs/>
          <w:sz w:val="24"/>
          <w:szCs w:val="24"/>
        </w:rPr>
        <w:t>公募时代</w:t>
      </w:r>
      <w:r>
        <w:rPr>
          <w:rFonts w:hint="eastAsia" w:ascii="楷体" w:hAnsi="楷体" w:eastAsia="楷体" w:cs="楷体"/>
          <w:sz w:val="24"/>
          <w:szCs w:val="24"/>
        </w:rPr>
        <w:t>，我们看一下上证指数在哪一个阶段更稳健，在哪</w:t>
      </w:r>
      <w:r>
        <w:rPr>
          <w:rFonts w:hint="eastAsia" w:ascii="楷体" w:hAnsi="楷体" w:eastAsia="楷体" w:cs="楷体"/>
          <w:sz w:val="24"/>
          <w:szCs w:val="24"/>
          <w:lang w:eastAsia="zh-CN"/>
        </w:rPr>
        <w:t>阶段</w:t>
      </w:r>
      <w:r>
        <w:rPr>
          <w:rFonts w:hint="eastAsia" w:ascii="楷体" w:hAnsi="楷体" w:eastAsia="楷体" w:cs="楷体"/>
          <w:sz w:val="24"/>
          <w:szCs w:val="24"/>
        </w:rPr>
        <w:t>可以更容易赚到钱？你更愿意在哪个阶段做投资？</w:t>
      </w:r>
    </w:p>
    <w:p>
      <w:pPr>
        <w:pStyle w:val="11"/>
        <w:adjustRightInd w:val="0"/>
        <w:spacing w:before="0" w:beforeAutospacing="0" w:after="0" w:afterAutospacing="0" w:line="360" w:lineRule="auto"/>
        <w:ind w:firstLine="482" w:firstLineChars="200"/>
        <w:jc w:val="both"/>
        <w:textAlignment w:val="baseline"/>
        <w:rPr>
          <w:rStyle w:val="16"/>
          <w:rFonts w:hint="eastAsia" w:ascii="楷体" w:hAnsi="楷体" w:eastAsia="楷体" w:cs="楷体"/>
          <w:bCs/>
          <w:sz w:val="24"/>
          <w:szCs w:val="24"/>
        </w:rPr>
      </w:pPr>
      <w:r>
        <w:rPr>
          <w:rStyle w:val="16"/>
          <w:rFonts w:hint="eastAsia" w:ascii="楷体" w:hAnsi="楷体" w:eastAsia="楷体" w:cs="楷体"/>
          <w:bCs/>
          <w:sz w:val="24"/>
          <w:szCs w:val="24"/>
        </w:rPr>
        <w:t>下面两图分别是2002年前和2002年后上证指数的季线图：</w:t>
      </w:r>
    </w:p>
    <w:p>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0" w:firstLineChars="0"/>
        <w:jc w:val="both"/>
        <w:textAlignment w:val="baseline"/>
        <w:rPr>
          <w:rFonts w:hint="default" w:eastAsia="黑体"/>
          <w:color w:val="000000"/>
          <w:lang w:val="en-US" w:eastAsia="zh-CN"/>
        </w:rPr>
      </w:pPr>
      <w:r>
        <w:drawing>
          <wp:inline distT="0" distB="0" distL="114300" distR="114300">
            <wp:extent cx="5727700" cy="4993640"/>
            <wp:effectExtent l="0" t="0" r="2540" b="508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28"/>
                    <a:stretch>
                      <a:fillRect/>
                    </a:stretch>
                  </pic:blipFill>
                  <pic:spPr>
                    <a:xfrm>
                      <a:off x="0" y="0"/>
                      <a:ext cx="5727700" cy="4993640"/>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autoSpaceDN/>
        <w:bidi w:val="0"/>
        <w:adjustRightInd w:val="0"/>
        <w:snapToGrid w:val="0"/>
        <w:spacing w:before="60" w:beforeAutospacing="0" w:after="0" w:afterLines="50" w:afterAutospacing="0" w:line="360" w:lineRule="auto"/>
        <w:ind w:firstLine="480" w:firstLineChars="200"/>
        <w:jc w:val="both"/>
        <w:textAlignment w:val="baseline"/>
        <w:rPr>
          <w:rFonts w:ascii="楷体" w:hAnsi="楷体" w:eastAsia="楷体" w:cs="楷体"/>
          <w:bCs/>
        </w:rPr>
      </w:pPr>
      <w:r>
        <w:rPr>
          <w:rStyle w:val="16"/>
          <w:rFonts w:hint="eastAsia" w:ascii="楷体" w:hAnsi="楷体" w:eastAsia="楷体" w:cs="楷体"/>
          <w:b w:val="0"/>
        </w:rPr>
        <w:t>清晰显然的客观走势揭示：</w:t>
      </w:r>
      <w:r>
        <w:rPr>
          <w:rStyle w:val="16"/>
          <w:rFonts w:hint="eastAsia" w:ascii="楷体" w:hAnsi="楷体" w:eastAsia="楷体" w:cs="楷体"/>
          <w:bCs/>
        </w:rPr>
        <w:t>在庄家主导的1990—2002年12年，中国股市大涨小回，走出了牛长熊短的上升走势！在这样的市场相对能挣到钱。2002年到2024年公募基金主导市场后，市场走出短疯牛后的长熊，20年间长期在3000点横盘，投资者极难挣钱！</w:t>
      </w:r>
    </w:p>
    <w:p>
      <w:pPr>
        <w:pStyle w:val="11"/>
        <w:keepNext w:val="0"/>
        <w:keepLines w:val="0"/>
        <w:pageBreakBefore w:val="0"/>
        <w:widowControl w:val="0"/>
        <w:kinsoku/>
        <w:wordWrap/>
        <w:overflowPunct/>
        <w:topLinePunct w:val="0"/>
        <w:autoSpaceDE/>
        <w:autoSpaceDN/>
        <w:bidi w:val="0"/>
        <w:adjustRightInd w:val="0"/>
        <w:snapToGrid w:val="0"/>
        <w:spacing w:before="60" w:beforeAutospacing="0" w:after="0" w:afterLines="50" w:afterAutospacing="0" w:line="360" w:lineRule="auto"/>
        <w:ind w:firstLine="482" w:firstLineChars="200"/>
        <w:jc w:val="both"/>
        <w:textAlignment w:val="baseline"/>
        <w:rPr>
          <w:rFonts w:hint="eastAsia" w:ascii="楷体" w:hAnsi="楷体" w:eastAsia="楷体" w:cs="楷体"/>
          <w:b/>
          <w:bCs/>
        </w:rPr>
      </w:pPr>
      <w:r>
        <w:rPr>
          <w:rStyle w:val="16"/>
          <w:rFonts w:hint="eastAsia" w:ascii="楷体" w:hAnsi="楷体" w:eastAsia="楷体" w:cs="楷体"/>
          <w:bCs/>
        </w:rPr>
        <w:t>客观事实证明</w:t>
      </w:r>
      <w:r>
        <w:rPr>
          <w:rFonts w:hint="eastAsia" w:ascii="楷体" w:hAnsi="楷体" w:eastAsia="楷体" w:cs="楷体"/>
          <w:b/>
          <w:bCs/>
        </w:rPr>
        <w:t>公募机构主导中国股市后，中国股市波动比庄家时代更非理性，比庄家时代更难挣钱！并且在这一阶段出现了短时间疯狂暴涨，然后进入漫长的去泡沫熊市。</w:t>
      </w:r>
    </w:p>
    <w:p>
      <w:pPr>
        <w:pStyle w:val="11"/>
        <w:keepNext w:val="0"/>
        <w:keepLines w:val="0"/>
        <w:pageBreakBefore w:val="0"/>
        <w:widowControl w:val="0"/>
        <w:kinsoku/>
        <w:wordWrap/>
        <w:overflowPunct/>
        <w:topLinePunct w:val="0"/>
        <w:autoSpaceDE/>
        <w:autoSpaceDN/>
        <w:bidi w:val="0"/>
        <w:adjustRightInd w:val="0"/>
        <w:snapToGrid w:val="0"/>
        <w:spacing w:before="60" w:beforeAutospacing="0" w:after="0" w:afterLines="50" w:afterAutospacing="0" w:line="360" w:lineRule="auto"/>
        <w:ind w:firstLine="482" w:firstLineChars="200"/>
        <w:jc w:val="both"/>
        <w:textAlignment w:val="baseline"/>
        <w:rPr>
          <w:rFonts w:hint="eastAsia" w:ascii="楷体" w:hAnsi="楷体" w:eastAsia="楷体" w:cs="楷体"/>
          <w:b/>
          <w:bCs/>
          <w:lang w:eastAsia="zh-CN"/>
        </w:rPr>
      </w:pPr>
    </w:p>
    <w:p>
      <w:pPr>
        <w:pStyle w:val="11"/>
        <w:keepNext w:val="0"/>
        <w:keepLines w:val="0"/>
        <w:pageBreakBefore w:val="0"/>
        <w:widowControl w:val="0"/>
        <w:kinsoku/>
        <w:wordWrap/>
        <w:overflowPunct/>
        <w:topLinePunct w:val="0"/>
        <w:autoSpaceDE/>
        <w:autoSpaceDN/>
        <w:bidi w:val="0"/>
        <w:adjustRightInd w:val="0"/>
        <w:snapToGrid w:val="0"/>
        <w:spacing w:before="60" w:beforeAutospacing="0" w:after="0" w:afterLines="50" w:afterAutospacing="0" w:line="360" w:lineRule="auto"/>
        <w:ind w:firstLine="482" w:firstLineChars="200"/>
        <w:jc w:val="both"/>
        <w:textAlignment w:val="baseline"/>
        <w:rPr>
          <w:rFonts w:hint="eastAsia" w:ascii="楷体" w:hAnsi="楷体" w:eastAsia="楷体" w:cs="楷体"/>
          <w:b/>
          <w:bCs/>
          <w:lang w:eastAsia="zh-CN"/>
        </w:rPr>
      </w:pPr>
    </w:p>
    <w:p>
      <w:pPr>
        <w:pStyle w:val="11"/>
        <w:keepNext w:val="0"/>
        <w:keepLines w:val="0"/>
        <w:pageBreakBefore w:val="0"/>
        <w:widowControl w:val="0"/>
        <w:kinsoku/>
        <w:wordWrap/>
        <w:overflowPunct/>
        <w:topLinePunct w:val="0"/>
        <w:autoSpaceDE/>
        <w:autoSpaceDN/>
        <w:bidi w:val="0"/>
        <w:adjustRightInd w:val="0"/>
        <w:snapToGrid w:val="0"/>
        <w:spacing w:before="60" w:beforeAutospacing="0" w:after="0" w:afterLines="50" w:afterAutospacing="0" w:line="360" w:lineRule="auto"/>
        <w:ind w:firstLine="482" w:firstLineChars="200"/>
        <w:jc w:val="both"/>
        <w:textAlignment w:val="baseline"/>
        <w:rPr>
          <w:rFonts w:hint="eastAsia" w:ascii="楷体" w:hAnsi="楷体" w:eastAsia="楷体" w:cs="楷体"/>
          <w:b/>
          <w:bCs/>
          <w:lang w:eastAsia="zh-CN"/>
        </w:rPr>
      </w:pPr>
    </w:p>
    <w:p>
      <w:pPr>
        <w:pStyle w:val="11"/>
        <w:keepNext w:val="0"/>
        <w:keepLines w:val="0"/>
        <w:pageBreakBefore w:val="0"/>
        <w:widowControl w:val="0"/>
        <w:kinsoku/>
        <w:wordWrap/>
        <w:overflowPunct/>
        <w:topLinePunct w:val="0"/>
        <w:autoSpaceDE/>
        <w:autoSpaceDN/>
        <w:bidi w:val="0"/>
        <w:adjustRightInd w:val="0"/>
        <w:snapToGrid w:val="0"/>
        <w:spacing w:before="60" w:beforeAutospacing="0" w:after="0" w:afterLines="50" w:afterAutospacing="0" w:line="360" w:lineRule="auto"/>
        <w:ind w:firstLine="482" w:firstLineChars="200"/>
        <w:jc w:val="both"/>
        <w:textAlignment w:val="baseline"/>
        <w:rPr>
          <w:rFonts w:hint="eastAsia" w:ascii="楷体" w:hAnsi="楷体" w:eastAsia="楷体" w:cs="楷体"/>
          <w:b/>
          <w:bCs/>
          <w:color w:val="FF0000"/>
          <w:lang w:eastAsia="zh-CN"/>
        </w:rPr>
      </w:pPr>
      <w:r>
        <w:rPr>
          <w:rFonts w:hint="eastAsia" w:ascii="楷体" w:hAnsi="楷体" w:eastAsia="楷体" w:cs="楷体"/>
          <w:b/>
          <w:bCs/>
          <w:color w:val="FF0000"/>
          <w:lang w:val="en-US" w:eastAsia="zh-CN"/>
        </w:rPr>
        <w:t>下图</w:t>
      </w:r>
      <w:r>
        <w:rPr>
          <w:rFonts w:hint="eastAsia" w:ascii="楷体" w:hAnsi="楷体" w:eastAsia="楷体" w:cs="楷体"/>
          <w:b/>
          <w:bCs/>
          <w:color w:val="FF0000"/>
          <w:lang w:eastAsia="zh-CN"/>
        </w:rPr>
        <w:t>是由东方财富网提供的过去</w:t>
      </w:r>
      <w:r>
        <w:rPr>
          <w:rFonts w:hint="eastAsia" w:ascii="楷体" w:hAnsi="楷体" w:eastAsia="楷体" w:cs="楷体"/>
          <w:b/>
          <w:bCs/>
          <w:color w:val="FF0000"/>
          <w:lang w:val="en-US" w:eastAsia="zh-CN"/>
        </w:rPr>
        <w:t>20多年，基金重仓指数的走势：</w:t>
      </w:r>
      <w:r>
        <w:rPr>
          <w:rFonts w:hint="eastAsia" w:ascii="楷体" w:hAnsi="楷体" w:eastAsia="楷体" w:cs="楷体"/>
          <w:b/>
          <w:bCs/>
          <w:color w:val="FF0000"/>
          <w:lang w:eastAsia="zh-CN"/>
        </w:rPr>
        <w:drawing>
          <wp:inline distT="0" distB="0" distL="114300" distR="114300">
            <wp:extent cx="5459730" cy="2298700"/>
            <wp:effectExtent l="0" t="0" r="7620" b="6350"/>
            <wp:docPr id="4" name="图片 4" descr="企业微信截图_1715428129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企业微信截图_17154281298989"/>
                    <pic:cNvPicPr>
                      <a:picLocks noChangeAspect="1"/>
                    </pic:cNvPicPr>
                  </pic:nvPicPr>
                  <pic:blipFill>
                    <a:blip r:embed="rId29"/>
                    <a:stretch>
                      <a:fillRect/>
                    </a:stretch>
                  </pic:blipFill>
                  <pic:spPr>
                    <a:xfrm>
                      <a:off x="0" y="0"/>
                      <a:ext cx="5459730" cy="2298700"/>
                    </a:xfrm>
                    <a:prstGeom prst="rect">
                      <a:avLst/>
                    </a:prstGeom>
                  </pic:spPr>
                </pic:pic>
              </a:graphicData>
            </a:graphic>
          </wp:inline>
        </w:drawing>
      </w:r>
    </w:p>
    <w:p>
      <w:pPr>
        <w:pStyle w:val="11"/>
        <w:keepNext w:val="0"/>
        <w:keepLines w:val="0"/>
        <w:pageBreakBefore w:val="0"/>
        <w:widowControl w:val="0"/>
        <w:kinsoku/>
        <w:wordWrap/>
        <w:overflowPunct/>
        <w:topLinePunct w:val="0"/>
        <w:autoSpaceDE/>
        <w:autoSpaceDN/>
        <w:bidi w:val="0"/>
        <w:adjustRightInd w:val="0"/>
        <w:snapToGrid w:val="0"/>
        <w:spacing w:before="60" w:beforeAutospacing="0" w:after="0" w:afterLines="50" w:afterAutospacing="0" w:line="360" w:lineRule="auto"/>
        <w:ind w:firstLine="482" w:firstLineChars="200"/>
        <w:jc w:val="both"/>
        <w:textAlignment w:val="baseline"/>
        <w:rPr>
          <w:rFonts w:hint="eastAsia" w:ascii="楷体" w:hAnsi="楷体" w:eastAsia="楷体" w:cs="楷体"/>
          <w:b/>
          <w:bCs/>
          <w:color w:val="FF0000"/>
          <w:lang w:val="en-US" w:eastAsia="zh-CN"/>
        </w:rPr>
      </w:pPr>
      <w:r>
        <w:rPr>
          <w:rFonts w:hint="eastAsia" w:ascii="楷体" w:hAnsi="楷体" w:eastAsia="楷体" w:cs="楷体"/>
          <w:b/>
          <w:bCs/>
          <w:color w:val="FF0000"/>
          <w:lang w:val="en-US" w:eastAsia="zh-CN"/>
        </w:rPr>
        <w:t>我们在这个图中看到的事实是：由基金重仓股构成的基金重仓指数的波动性异常剧烈，而且每隔几年就有一个剧烈的先暴涨后暴跌。下图是基金重仓指数与沪深300指数的对比：</w:t>
      </w:r>
    </w:p>
    <w:p>
      <w:pPr>
        <w:pStyle w:val="11"/>
        <w:keepNext w:val="0"/>
        <w:keepLines w:val="0"/>
        <w:pageBreakBefore w:val="0"/>
        <w:widowControl w:val="0"/>
        <w:kinsoku/>
        <w:wordWrap/>
        <w:overflowPunct/>
        <w:topLinePunct w:val="0"/>
        <w:autoSpaceDE/>
        <w:autoSpaceDN/>
        <w:bidi w:val="0"/>
        <w:adjustRightInd w:val="0"/>
        <w:snapToGrid w:val="0"/>
        <w:spacing w:before="60" w:beforeAutospacing="0" w:after="0" w:afterLines="50" w:afterAutospacing="0" w:line="360" w:lineRule="auto"/>
        <w:ind w:firstLine="0" w:firstLineChars="0"/>
        <w:jc w:val="both"/>
        <w:textAlignment w:val="baseline"/>
        <w:rPr>
          <w:rFonts w:hint="eastAsia" w:ascii="楷体" w:hAnsi="楷体" w:eastAsia="楷体" w:cs="楷体"/>
          <w:b/>
          <w:bCs/>
          <w:color w:val="FF0000"/>
          <w:lang w:val="en-US" w:eastAsia="zh-CN"/>
        </w:rPr>
      </w:pPr>
      <w:r>
        <w:rPr>
          <w:rFonts w:hint="eastAsia" w:ascii="楷体" w:hAnsi="楷体" w:eastAsia="楷体" w:cs="楷体"/>
          <w:b/>
          <w:bCs/>
          <w:color w:val="FF0000"/>
          <w:lang w:val="en-US" w:eastAsia="zh-CN"/>
        </w:rPr>
        <w:drawing>
          <wp:inline distT="0" distB="0" distL="114300" distR="114300">
            <wp:extent cx="5723890" cy="2880995"/>
            <wp:effectExtent l="0" t="0" r="0" b="0"/>
            <wp:docPr id="5" name="图片 5" descr="未命名文件(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文件(66)"/>
                    <pic:cNvPicPr>
                      <a:picLocks noChangeAspect="1"/>
                    </pic:cNvPicPr>
                  </pic:nvPicPr>
                  <pic:blipFill>
                    <a:blip r:embed="rId30"/>
                    <a:stretch>
                      <a:fillRect/>
                    </a:stretch>
                  </pic:blipFill>
                  <pic:spPr>
                    <a:xfrm>
                      <a:off x="0" y="0"/>
                      <a:ext cx="5723890" cy="2880995"/>
                    </a:xfrm>
                    <a:prstGeom prst="rect">
                      <a:avLst/>
                    </a:prstGeom>
                  </pic:spPr>
                </pic:pic>
              </a:graphicData>
            </a:graphic>
          </wp:inline>
        </w:drawing>
      </w:r>
    </w:p>
    <w:p>
      <w:pPr>
        <w:pStyle w:val="11"/>
        <w:keepNext w:val="0"/>
        <w:keepLines w:val="0"/>
        <w:pageBreakBefore w:val="0"/>
        <w:widowControl w:val="0"/>
        <w:kinsoku/>
        <w:wordWrap/>
        <w:overflowPunct/>
        <w:topLinePunct w:val="0"/>
        <w:autoSpaceDE/>
        <w:autoSpaceDN/>
        <w:bidi w:val="0"/>
        <w:adjustRightInd w:val="0"/>
        <w:snapToGrid w:val="0"/>
        <w:spacing w:before="60" w:beforeAutospacing="0" w:after="0" w:afterLines="50" w:afterAutospacing="0" w:line="360" w:lineRule="auto"/>
        <w:ind w:firstLine="482" w:firstLineChars="200"/>
        <w:jc w:val="both"/>
        <w:textAlignment w:val="baseline"/>
        <w:rPr>
          <w:rFonts w:hint="eastAsia" w:ascii="楷体" w:hAnsi="楷体" w:eastAsia="楷体" w:cs="楷体"/>
          <w:b/>
          <w:bCs/>
          <w:color w:val="FF0000"/>
          <w:lang w:val="en-US" w:eastAsia="zh-CN"/>
        </w:rPr>
      </w:pPr>
      <w:r>
        <w:rPr>
          <w:rFonts w:hint="eastAsia" w:ascii="楷体" w:hAnsi="楷体" w:eastAsia="楷体" w:cs="楷体"/>
          <w:b/>
          <w:bCs/>
          <w:color w:val="FF0000"/>
          <w:lang w:val="en-US" w:eastAsia="zh-CN"/>
        </w:rPr>
        <w:t>可以看到基金重仓股的波动性明显地大幅高于沪深300指数。下图是基金重仓指数与上证指数的对比：</w:t>
      </w:r>
    </w:p>
    <w:p>
      <w:pPr>
        <w:pStyle w:val="11"/>
        <w:keepNext w:val="0"/>
        <w:keepLines w:val="0"/>
        <w:pageBreakBefore w:val="0"/>
        <w:widowControl w:val="0"/>
        <w:kinsoku/>
        <w:wordWrap/>
        <w:overflowPunct/>
        <w:topLinePunct w:val="0"/>
        <w:autoSpaceDE/>
        <w:autoSpaceDN/>
        <w:bidi w:val="0"/>
        <w:adjustRightInd w:val="0"/>
        <w:snapToGrid w:val="0"/>
        <w:spacing w:before="60" w:beforeAutospacing="0" w:after="0" w:afterLines="50" w:afterAutospacing="0" w:line="360" w:lineRule="auto"/>
        <w:ind w:firstLine="0" w:firstLineChars="0"/>
        <w:jc w:val="both"/>
        <w:textAlignment w:val="baseline"/>
        <w:rPr>
          <w:rFonts w:hint="default" w:ascii="楷体" w:hAnsi="楷体" w:eastAsia="楷体" w:cs="楷体"/>
          <w:b/>
          <w:bCs/>
          <w:color w:val="FF0000"/>
          <w:lang w:val="en-US" w:eastAsia="zh-CN"/>
        </w:rPr>
      </w:pPr>
      <w:r>
        <w:rPr>
          <w:rFonts w:hint="default" w:ascii="楷体" w:hAnsi="楷体" w:eastAsia="楷体" w:cs="楷体"/>
          <w:b/>
          <w:bCs/>
          <w:color w:val="FF0000"/>
          <w:lang w:val="en-US" w:eastAsia="zh-CN"/>
        </w:rPr>
        <w:drawing>
          <wp:inline distT="0" distB="0" distL="114300" distR="114300">
            <wp:extent cx="5723890" cy="3094355"/>
            <wp:effectExtent l="0" t="0" r="0" b="0"/>
            <wp:docPr id="2" name="图片 2" descr="未命名文件(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命名文件(67)"/>
                    <pic:cNvPicPr>
                      <a:picLocks noChangeAspect="1"/>
                    </pic:cNvPicPr>
                  </pic:nvPicPr>
                  <pic:blipFill>
                    <a:blip r:embed="rId31"/>
                    <a:stretch>
                      <a:fillRect/>
                    </a:stretch>
                  </pic:blipFill>
                  <pic:spPr>
                    <a:xfrm>
                      <a:off x="0" y="0"/>
                      <a:ext cx="5723890" cy="3094355"/>
                    </a:xfrm>
                    <a:prstGeom prst="rect">
                      <a:avLst/>
                    </a:prstGeom>
                  </pic:spPr>
                </pic:pic>
              </a:graphicData>
            </a:graphic>
          </wp:inline>
        </w:drawing>
      </w:r>
    </w:p>
    <w:p>
      <w:pPr>
        <w:pStyle w:val="11"/>
        <w:keepNext w:val="0"/>
        <w:keepLines w:val="0"/>
        <w:pageBreakBefore w:val="0"/>
        <w:widowControl w:val="0"/>
        <w:kinsoku/>
        <w:wordWrap/>
        <w:overflowPunct/>
        <w:topLinePunct w:val="0"/>
        <w:autoSpaceDE/>
        <w:autoSpaceDN/>
        <w:bidi w:val="0"/>
        <w:adjustRightInd w:val="0"/>
        <w:snapToGrid w:val="0"/>
        <w:spacing w:before="60" w:beforeAutospacing="0" w:after="0" w:afterLines="50" w:afterAutospacing="0" w:line="360" w:lineRule="auto"/>
        <w:ind w:firstLine="482" w:firstLineChars="200"/>
        <w:jc w:val="both"/>
        <w:textAlignment w:val="baseline"/>
        <w:rPr>
          <w:rFonts w:hint="eastAsia" w:ascii="楷体" w:hAnsi="楷体" w:eastAsia="楷体" w:cs="楷体"/>
          <w:b/>
          <w:bCs/>
          <w:color w:val="FF0000"/>
          <w:lang w:val="en-US" w:eastAsia="zh-CN"/>
        </w:rPr>
      </w:pPr>
      <w:r>
        <w:rPr>
          <w:rFonts w:hint="eastAsia" w:ascii="楷体" w:hAnsi="楷体" w:eastAsia="楷体" w:cs="楷体"/>
          <w:b/>
          <w:bCs/>
          <w:color w:val="FF0000"/>
          <w:lang w:val="en-US" w:eastAsia="zh-CN"/>
        </w:rPr>
        <w:t>可以看到基金重仓指数比上证指数的波动性更为明显和剧烈。客观数据证明基金重仓指数的波动性大幅超过了中国所有主流指数。下图是基金重仓指数与创业板指数的对比：</w:t>
      </w:r>
    </w:p>
    <w:p>
      <w:pPr>
        <w:pStyle w:val="11"/>
        <w:keepNext w:val="0"/>
        <w:keepLines w:val="0"/>
        <w:pageBreakBefore w:val="0"/>
        <w:widowControl w:val="0"/>
        <w:kinsoku/>
        <w:wordWrap/>
        <w:overflowPunct/>
        <w:topLinePunct w:val="0"/>
        <w:autoSpaceDE/>
        <w:autoSpaceDN/>
        <w:bidi w:val="0"/>
        <w:adjustRightInd w:val="0"/>
        <w:snapToGrid w:val="0"/>
        <w:spacing w:before="60" w:beforeAutospacing="0" w:after="0" w:afterLines="50" w:afterAutospacing="0" w:line="360" w:lineRule="auto"/>
        <w:ind w:firstLine="0" w:firstLineChars="0"/>
        <w:jc w:val="both"/>
        <w:textAlignment w:val="baseline"/>
        <w:rPr>
          <w:rFonts w:hint="eastAsia" w:ascii="楷体" w:hAnsi="楷体" w:eastAsia="楷体" w:cs="楷体"/>
          <w:b/>
          <w:bCs/>
          <w:color w:val="FF0000"/>
          <w:lang w:val="en-US" w:eastAsia="zh-CN"/>
        </w:rPr>
      </w:pPr>
      <w:r>
        <w:rPr>
          <w:rFonts w:hint="eastAsia" w:ascii="楷体" w:hAnsi="楷体" w:eastAsia="楷体" w:cs="楷体"/>
          <w:b/>
          <w:bCs/>
          <w:color w:val="FF0000"/>
          <w:lang w:val="en-US" w:eastAsia="zh-CN"/>
        </w:rPr>
        <w:drawing>
          <wp:inline distT="0" distB="0" distL="114300" distR="114300">
            <wp:extent cx="5719445" cy="3062605"/>
            <wp:effectExtent l="0" t="0" r="14605" b="0"/>
            <wp:docPr id="6" name="图片 6" descr="未命名文件(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未命名文件(68)"/>
                    <pic:cNvPicPr>
                      <a:picLocks noChangeAspect="1"/>
                    </pic:cNvPicPr>
                  </pic:nvPicPr>
                  <pic:blipFill>
                    <a:blip r:embed="rId32"/>
                    <a:stretch>
                      <a:fillRect/>
                    </a:stretch>
                  </pic:blipFill>
                  <pic:spPr>
                    <a:xfrm>
                      <a:off x="0" y="0"/>
                      <a:ext cx="5719445" cy="3062605"/>
                    </a:xfrm>
                    <a:prstGeom prst="rect">
                      <a:avLst/>
                    </a:prstGeom>
                  </pic:spPr>
                </pic:pic>
              </a:graphicData>
            </a:graphic>
          </wp:inline>
        </w:drawing>
      </w:r>
    </w:p>
    <w:p>
      <w:pPr>
        <w:pStyle w:val="11"/>
        <w:keepNext w:val="0"/>
        <w:keepLines w:val="0"/>
        <w:pageBreakBefore w:val="0"/>
        <w:widowControl w:val="0"/>
        <w:kinsoku/>
        <w:wordWrap/>
        <w:overflowPunct/>
        <w:topLinePunct w:val="0"/>
        <w:autoSpaceDE/>
        <w:autoSpaceDN/>
        <w:bidi w:val="0"/>
        <w:adjustRightInd w:val="0"/>
        <w:snapToGrid w:val="0"/>
        <w:spacing w:before="60" w:beforeAutospacing="0" w:after="0" w:afterLines="50" w:afterAutospacing="0" w:line="360" w:lineRule="auto"/>
        <w:ind w:firstLine="482" w:firstLineChars="200"/>
        <w:jc w:val="both"/>
        <w:textAlignment w:val="baseline"/>
        <w:rPr>
          <w:rFonts w:hint="eastAsia" w:ascii="楷体" w:hAnsi="楷体" w:eastAsia="楷体" w:cs="楷体"/>
          <w:b/>
          <w:bCs/>
          <w:color w:val="FF0000"/>
          <w:lang w:eastAsia="zh-CN"/>
        </w:rPr>
      </w:pPr>
      <w:r>
        <w:rPr>
          <w:rFonts w:hint="eastAsia" w:ascii="楷体" w:hAnsi="楷体" w:eastAsia="楷体" w:cs="楷体"/>
          <w:b/>
          <w:bCs/>
          <w:color w:val="FF0000"/>
          <w:lang w:eastAsia="zh-CN"/>
        </w:rPr>
        <w:t>在基金重仓指数与创业板指数对比的过程中，我们可以发现三个阶段：</w:t>
      </w:r>
    </w:p>
    <w:p>
      <w:pPr>
        <w:pStyle w:val="11"/>
        <w:keepNext w:val="0"/>
        <w:keepLines w:val="0"/>
        <w:pageBreakBefore w:val="0"/>
        <w:widowControl w:val="0"/>
        <w:kinsoku/>
        <w:wordWrap/>
        <w:overflowPunct/>
        <w:topLinePunct w:val="0"/>
        <w:autoSpaceDE/>
        <w:autoSpaceDN/>
        <w:bidi w:val="0"/>
        <w:adjustRightInd w:val="0"/>
        <w:snapToGrid w:val="0"/>
        <w:spacing w:before="60" w:beforeAutospacing="0" w:after="0" w:afterLines="50" w:afterAutospacing="0" w:line="360" w:lineRule="auto"/>
        <w:ind w:firstLine="482" w:firstLineChars="200"/>
        <w:jc w:val="both"/>
        <w:textAlignment w:val="baseline"/>
        <w:rPr>
          <w:rFonts w:hint="eastAsia" w:ascii="楷体" w:hAnsi="楷体" w:eastAsia="楷体" w:cs="楷体"/>
          <w:b/>
          <w:bCs/>
          <w:color w:val="FF0000"/>
          <w:lang w:val="en-US" w:eastAsia="zh-CN"/>
        </w:rPr>
      </w:pPr>
      <w:r>
        <w:rPr>
          <w:rFonts w:hint="eastAsia" w:ascii="楷体" w:hAnsi="楷体" w:eastAsia="楷体" w:cs="楷体"/>
          <w:b/>
          <w:bCs/>
          <w:color w:val="FF0000"/>
          <w:lang w:eastAsia="zh-CN"/>
        </w:rPr>
        <w:t>第一阶段是</w:t>
      </w:r>
      <w:r>
        <w:rPr>
          <w:rFonts w:hint="eastAsia" w:ascii="楷体" w:hAnsi="楷体" w:eastAsia="楷体" w:cs="楷体"/>
          <w:b/>
          <w:bCs/>
          <w:color w:val="FF0000"/>
          <w:lang w:val="en-US" w:eastAsia="zh-CN"/>
        </w:rPr>
        <w:t>在2013年之前，基金重仓股指数的稳定性是明显强于创业板指数。</w:t>
      </w:r>
    </w:p>
    <w:p>
      <w:pPr>
        <w:pStyle w:val="11"/>
        <w:keepNext w:val="0"/>
        <w:keepLines w:val="0"/>
        <w:pageBreakBefore w:val="0"/>
        <w:widowControl w:val="0"/>
        <w:kinsoku/>
        <w:wordWrap/>
        <w:overflowPunct/>
        <w:topLinePunct w:val="0"/>
        <w:autoSpaceDE/>
        <w:autoSpaceDN/>
        <w:bidi w:val="0"/>
        <w:adjustRightInd w:val="0"/>
        <w:snapToGrid w:val="0"/>
        <w:spacing w:before="60" w:beforeAutospacing="0" w:after="0" w:afterLines="50" w:afterAutospacing="0" w:line="360" w:lineRule="auto"/>
        <w:ind w:firstLine="482" w:firstLineChars="200"/>
        <w:jc w:val="both"/>
        <w:textAlignment w:val="baseline"/>
        <w:rPr>
          <w:rFonts w:hint="eastAsia" w:ascii="楷体" w:hAnsi="楷体" w:eastAsia="楷体" w:cs="楷体"/>
          <w:b/>
          <w:bCs/>
          <w:color w:val="FF0000"/>
          <w:lang w:val="en-US" w:eastAsia="zh-CN"/>
        </w:rPr>
      </w:pPr>
      <w:r>
        <w:rPr>
          <w:rFonts w:hint="eastAsia" w:ascii="楷体" w:hAnsi="楷体" w:eastAsia="楷体" w:cs="楷体"/>
          <w:b/>
          <w:bCs/>
          <w:color w:val="FF0000"/>
          <w:lang w:val="en-US" w:eastAsia="zh-CN"/>
        </w:rPr>
        <w:t>第二阶段是从2014年开始到2018年，在这几年中基金重仓股指数的波动性明显地增加，但是尚达不到创业板指数的波动幅度，在与创业板指数的波动性对比的时候，基金重仓指数波动性接近创业板指数，但略微弱于创业板指数。</w:t>
      </w:r>
    </w:p>
    <w:p>
      <w:pPr>
        <w:pStyle w:val="11"/>
        <w:keepNext w:val="0"/>
        <w:keepLines w:val="0"/>
        <w:pageBreakBefore w:val="0"/>
        <w:widowControl w:val="0"/>
        <w:kinsoku/>
        <w:wordWrap/>
        <w:overflowPunct/>
        <w:topLinePunct w:val="0"/>
        <w:autoSpaceDE/>
        <w:autoSpaceDN/>
        <w:bidi w:val="0"/>
        <w:adjustRightInd w:val="0"/>
        <w:snapToGrid w:val="0"/>
        <w:spacing w:before="60" w:beforeAutospacing="0" w:after="0" w:afterLines="50" w:afterAutospacing="0" w:line="360" w:lineRule="auto"/>
        <w:ind w:firstLine="482" w:firstLineChars="200"/>
        <w:jc w:val="both"/>
        <w:textAlignment w:val="baseline"/>
        <w:rPr>
          <w:rFonts w:hint="eastAsia" w:ascii="楷体" w:hAnsi="楷体" w:eastAsia="楷体" w:cs="楷体"/>
          <w:b/>
          <w:bCs/>
          <w:color w:val="FF0000"/>
          <w:lang w:val="en-US" w:eastAsia="zh-CN"/>
        </w:rPr>
      </w:pPr>
      <w:r>
        <w:rPr>
          <w:rFonts w:hint="eastAsia" w:ascii="楷体" w:hAnsi="楷体" w:eastAsia="楷体" w:cs="楷体"/>
          <w:b/>
          <w:bCs/>
          <w:color w:val="FF0000"/>
          <w:lang w:val="en-US" w:eastAsia="zh-CN"/>
        </w:rPr>
        <w:t>第三阶段从2018年开始到2024年，基金重仓股的波动性已经和创业板指数完全重合了。</w:t>
      </w:r>
    </w:p>
    <w:p>
      <w:pPr>
        <w:pStyle w:val="11"/>
        <w:keepNext w:val="0"/>
        <w:keepLines w:val="0"/>
        <w:pageBreakBefore w:val="0"/>
        <w:widowControl w:val="0"/>
        <w:kinsoku/>
        <w:wordWrap/>
        <w:overflowPunct/>
        <w:topLinePunct w:val="0"/>
        <w:autoSpaceDE/>
        <w:autoSpaceDN/>
        <w:bidi w:val="0"/>
        <w:adjustRightInd w:val="0"/>
        <w:snapToGrid w:val="0"/>
        <w:spacing w:before="60" w:beforeAutospacing="0" w:after="0" w:afterLines="50" w:afterAutospacing="0" w:line="360" w:lineRule="auto"/>
        <w:ind w:firstLine="482" w:firstLineChars="200"/>
        <w:jc w:val="both"/>
        <w:textAlignment w:val="baseline"/>
        <w:rPr>
          <w:rFonts w:hint="eastAsia" w:ascii="楷体" w:hAnsi="楷体" w:eastAsia="楷体" w:cs="楷体"/>
          <w:b/>
          <w:bCs/>
          <w:color w:val="FF0000"/>
          <w:lang w:val="en-US" w:eastAsia="zh-CN"/>
        </w:rPr>
      </w:pPr>
      <w:r>
        <w:rPr>
          <w:rFonts w:hint="eastAsia" w:ascii="楷体" w:hAnsi="楷体" w:eastAsia="楷体" w:cs="楷体"/>
          <w:b/>
          <w:bCs/>
          <w:color w:val="FF0000"/>
          <w:lang w:val="en-US" w:eastAsia="zh-CN"/>
        </w:rPr>
        <w:t>我们知道创业板指数的成分股都是中小的创业型企业，这类型的企业先天具有高波动性的特点，而基金重仓指数随着基金总规模的扩大，主要持股的市值越来越大，是以传统产业的大市值公司为主。传统产业大市值公司先天具有基本面稳定性强，波动性小的特点，所以基金以大市值传统产业为主的持仓本身不应该有很大的波动，但现实看到的基金重仓指数具有罕见的高波动，以至于达到了创业板这种以中小市值新兴产业为主的股票的波动幅度，这是为什么呢？答案首先可以确认基金重仓股的高波动性，并不是来自所持仓股票的基本面特征，而是来自基金的买卖交易行为。基金需要通过制造高波动实现自己的利益。他们先制造一个急速的上涨吸引社会大众的资金加入基金，资金推动的短期急速上涨，因违反了价值规律，所以必然稳定不住，从而在急速上涨后在价值规律作用下进入暴跌，于是资金推动下的急速上涨和价值规律作用下的急速暴跌结合起来就形成了不断的周期性高波动。又由于基金规模越来越大，基金重仓股对市场的影响也越来越大，所以基金重仓股指数的这种高波动必然把中国股市带向周期性泡沫和周期性崩溃。</w:t>
      </w:r>
    </w:p>
    <w:p>
      <w:pPr>
        <w:pStyle w:val="11"/>
        <w:keepNext w:val="0"/>
        <w:keepLines w:val="0"/>
        <w:pageBreakBefore w:val="0"/>
        <w:widowControl w:val="0"/>
        <w:kinsoku/>
        <w:wordWrap/>
        <w:overflowPunct/>
        <w:topLinePunct w:val="0"/>
        <w:autoSpaceDE/>
        <w:autoSpaceDN/>
        <w:bidi w:val="0"/>
        <w:adjustRightInd w:val="0"/>
        <w:snapToGrid w:val="0"/>
        <w:spacing w:before="60" w:beforeAutospacing="0" w:after="0" w:afterLines="50" w:afterAutospacing="0" w:line="360" w:lineRule="auto"/>
        <w:ind w:firstLine="482" w:firstLineChars="200"/>
        <w:jc w:val="both"/>
        <w:textAlignment w:val="baseline"/>
        <w:rPr>
          <w:rFonts w:ascii="楷体" w:hAnsi="楷体" w:eastAsia="楷体" w:cs="楷体"/>
          <w:b/>
          <w:bCs/>
        </w:rPr>
      </w:pPr>
      <w:r>
        <w:rPr>
          <w:rFonts w:hint="eastAsia" w:ascii="楷体" w:hAnsi="楷体" w:eastAsia="楷体" w:cs="楷体"/>
          <w:b/>
          <w:bCs/>
        </w:rPr>
        <w:t>为什么以治理中国资本市场非理性波动，意图增加市场理性度和稳定性为目的，大力发展壮大的公募基金在崛起壮大后，中国资本市场上反而比庄家时代波动更加剧烈，更加非理性，更加不易挣钱？为什么比2002年之前公募基金崛起前的庄家主导的市场相对比较稳定，且走出了大涨</w:t>
      </w:r>
      <w:r>
        <w:rPr>
          <w:rFonts w:hint="eastAsia" w:ascii="楷体" w:hAnsi="楷体" w:eastAsia="楷体" w:cs="楷体"/>
          <w:b/>
          <w:bCs/>
          <w:lang w:eastAsia="zh-CN"/>
        </w:rPr>
        <w:t>小跌</w:t>
      </w:r>
      <w:r>
        <w:rPr>
          <w:rFonts w:hint="eastAsia" w:ascii="楷体" w:hAnsi="楷体" w:eastAsia="楷体" w:cs="楷体"/>
          <w:b/>
          <w:bCs/>
        </w:rPr>
        <w:t>，整体向上的态势。</w:t>
      </w:r>
    </w:p>
    <w:p>
      <w:pPr>
        <w:pStyle w:val="11"/>
        <w:keepNext w:val="0"/>
        <w:keepLines w:val="0"/>
        <w:pageBreakBefore w:val="0"/>
        <w:widowControl w:val="0"/>
        <w:kinsoku/>
        <w:wordWrap/>
        <w:overflowPunct/>
        <w:topLinePunct w:val="0"/>
        <w:autoSpaceDE/>
        <w:autoSpaceDN/>
        <w:bidi w:val="0"/>
        <w:adjustRightInd w:val="0"/>
        <w:snapToGrid w:val="0"/>
        <w:spacing w:before="60" w:beforeAutospacing="0" w:after="0" w:afterLines="50" w:afterAutospacing="0" w:line="360" w:lineRule="auto"/>
        <w:ind w:firstLine="480" w:firstLineChars="200"/>
        <w:jc w:val="both"/>
        <w:textAlignment w:val="baseline"/>
        <w:rPr>
          <w:rFonts w:hint="eastAsia" w:ascii="楷体" w:hAnsi="楷体" w:eastAsia="楷体" w:cs="楷体"/>
        </w:rPr>
      </w:pPr>
      <w:r>
        <w:rPr>
          <w:rFonts w:hint="eastAsia" w:ascii="楷体" w:hAnsi="楷体" w:eastAsia="楷体" w:cs="楷体"/>
        </w:rPr>
        <w:t>答案是</w:t>
      </w:r>
      <w:r>
        <w:rPr>
          <w:rFonts w:hint="eastAsia" w:ascii="楷体" w:hAnsi="楷体" w:eastAsia="楷体" w:cs="楷体"/>
          <w:b/>
          <w:bCs/>
        </w:rPr>
        <w:t>庄家的钱往往都是自己的，</w:t>
      </w:r>
      <w:r>
        <w:rPr>
          <w:rFonts w:hint="eastAsia" w:ascii="楷体" w:hAnsi="楷体" w:eastAsia="楷体" w:cs="楷体"/>
        </w:rPr>
        <w:t>虽然庄家赚钱的方式是通过操纵拉高股价诱骗别人高位接盘的非法方式实现的，但是庄家离开资本市场的时候资金需要增值，庄家投进10个亿，需要带走20个亿，换句话说，</w:t>
      </w:r>
      <w:r>
        <w:rPr>
          <w:rFonts w:hint="eastAsia" w:ascii="楷体" w:hAnsi="楷体" w:eastAsia="楷体" w:cs="楷体"/>
          <w:b/>
          <w:bCs/>
        </w:rPr>
        <w:t>用自己的钱做投资的庄家和任何一个普通投资人的盈利模式是一样的，只能借助于市场上涨来获利，除此之外没有别的盈利来源。庄家与其他投资主体的差别在于资金量大拥有了定价权，庄家利用定价权非法操作制造泡沫，引诱不明真相的大众高位接盘，通过损害大众损害市场稳定的方式获取非法增值利益。</w:t>
      </w:r>
      <w:r>
        <w:rPr>
          <w:rFonts w:hint="eastAsia" w:ascii="楷体" w:hAnsi="楷体" w:eastAsia="楷体" w:cs="楷体"/>
        </w:rPr>
        <w:t>庄家坐庄也不排斥低估值的股票，一定程度上以坐庄收割社会大众为目的的</w:t>
      </w:r>
      <w:r>
        <w:rPr>
          <w:rFonts w:hint="eastAsia" w:ascii="楷体" w:hAnsi="楷体" w:eastAsia="楷体" w:cs="楷体"/>
          <w:b/>
          <w:bCs/>
        </w:rPr>
        <w:t>庄家炒作，在初期其实更愿意买低估值的股票，因为低估值的股票可以更容易推升股价上涨</w:t>
      </w:r>
      <w:r>
        <w:rPr>
          <w:rFonts w:hint="eastAsia" w:ascii="楷体" w:hAnsi="楷体" w:eastAsia="楷体" w:cs="楷体"/>
        </w:rPr>
        <w:t>。</w:t>
      </w:r>
    </w:p>
    <w:p>
      <w:pPr>
        <w:pStyle w:val="11"/>
        <w:keepNext w:val="0"/>
        <w:keepLines w:val="0"/>
        <w:pageBreakBefore w:val="0"/>
        <w:widowControl w:val="0"/>
        <w:kinsoku/>
        <w:wordWrap/>
        <w:overflowPunct/>
        <w:topLinePunct w:val="0"/>
        <w:autoSpaceDE/>
        <w:autoSpaceDN/>
        <w:bidi w:val="0"/>
        <w:adjustRightInd w:val="0"/>
        <w:snapToGrid w:val="0"/>
        <w:spacing w:before="60" w:beforeAutospacing="0" w:after="0" w:afterLines="50" w:afterAutospacing="0" w:line="360" w:lineRule="auto"/>
        <w:ind w:firstLine="480" w:firstLineChars="200"/>
        <w:jc w:val="both"/>
        <w:textAlignment w:val="baseline"/>
        <w:rPr>
          <w:rFonts w:ascii="楷体" w:hAnsi="楷体" w:eastAsia="楷体" w:cs="楷体"/>
        </w:rPr>
      </w:pPr>
      <w:r>
        <w:rPr>
          <w:rFonts w:hint="eastAsia" w:ascii="楷体" w:hAnsi="楷体" w:eastAsia="楷体" w:cs="楷体"/>
        </w:rPr>
        <w:t>1996年初，当时我在证券公司工作，</w:t>
      </w:r>
      <w:r>
        <w:rPr>
          <w:rFonts w:hint="eastAsia" w:ascii="楷体" w:hAnsi="楷体" w:eastAsia="楷体" w:cs="楷体"/>
          <w:lang w:eastAsia="zh-CN"/>
        </w:rPr>
        <w:t>亲身经历了</w:t>
      </w:r>
      <w:r>
        <w:rPr>
          <w:rFonts w:hint="eastAsia" w:ascii="楷体" w:hAnsi="楷体" w:eastAsia="楷体" w:cs="楷体"/>
        </w:rPr>
        <w:t>四川长虹的股票价格8元只有4倍市盈率，由于电视机稀缺，需要凭票购买，四川长虹的业绩大幅暴涨，在这个时候庄家介入四川长虹，最后炒作到66块钱，最终制造了泡沫，庄家高位离场套死老百姓。炒作四川长虹的庄家在8倍市盈率介入是符合价值规律的，一般来说四川长虹所在的制造业推到15倍之前属于价值发现，此后再进一步推高四川长虹的估值是操纵和炒作。下图是1995年底到1998年四川长虹被庄家炒作的走势图。</w:t>
      </w:r>
    </w:p>
    <w:p>
      <w:pPr>
        <w:pStyle w:val="6"/>
        <w:keepNext w:val="0"/>
        <w:keepLines w:val="0"/>
        <w:pageBreakBefore w:val="0"/>
        <w:widowControl/>
        <w:kinsoku/>
        <w:wordWrap/>
        <w:overflowPunct/>
        <w:topLinePunct w:val="0"/>
        <w:autoSpaceDE/>
        <w:autoSpaceDN/>
        <w:bidi w:val="0"/>
        <w:adjustRightInd w:val="0"/>
        <w:snapToGrid/>
        <w:spacing w:before="0" w:after="0" w:afterLines="50" w:line="240" w:lineRule="auto"/>
        <w:ind w:firstLine="0" w:firstLineChars="0"/>
        <w:jc w:val="right"/>
        <w:textAlignment w:val="auto"/>
        <w:rPr>
          <w:rFonts w:hint="default" w:eastAsia="黑体"/>
          <w:color w:val="000000"/>
          <w:lang w:val="en-US" w:eastAsia="zh-CN"/>
        </w:rPr>
      </w:pPr>
      <w:r>
        <w:drawing>
          <wp:inline distT="0" distB="0" distL="114300" distR="114300">
            <wp:extent cx="5727065" cy="2242820"/>
            <wp:effectExtent l="0" t="0" r="3175" b="1270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33"/>
                    <a:stretch>
                      <a:fillRect/>
                    </a:stretch>
                  </pic:blipFill>
                  <pic:spPr>
                    <a:xfrm>
                      <a:off x="0" y="0"/>
                      <a:ext cx="5727065" cy="2242820"/>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autoSpaceDN/>
        <w:bidi w:val="0"/>
        <w:adjustRightInd w:val="0"/>
        <w:snapToGrid w:val="0"/>
        <w:spacing w:before="0" w:beforeLines="50" w:beforeAutospacing="0" w:after="0" w:afterLines="50" w:afterAutospacing="0" w:line="360" w:lineRule="auto"/>
        <w:ind w:firstLine="480" w:firstLineChars="200"/>
        <w:jc w:val="both"/>
        <w:textAlignment w:val="baseline"/>
        <w:rPr>
          <w:rFonts w:ascii="楷体" w:hAnsi="楷体" w:eastAsia="楷体" w:cs="楷体"/>
          <w:b/>
          <w:bCs/>
          <w:color w:val="FF0000"/>
        </w:rPr>
      </w:pPr>
      <w:r>
        <w:rPr>
          <w:rFonts w:hint="eastAsia" w:ascii="楷体" w:hAnsi="楷体" w:eastAsia="楷体" w:cs="楷体"/>
        </w:rPr>
        <w:t>在中国证券发展史上，90年代时市场曾经出现一对名词叫做“善庄”和“恶庄”</w:t>
      </w:r>
      <w:r>
        <w:rPr>
          <w:rFonts w:hint="eastAsia" w:ascii="楷体" w:hAnsi="楷体" w:eastAsia="楷体" w:cs="楷体"/>
          <w:lang w:eastAsia="zh"/>
        </w:rPr>
        <w:t>。</w:t>
      </w:r>
      <w:r>
        <w:rPr>
          <w:rFonts w:hint="eastAsia" w:ascii="楷体" w:hAnsi="楷体" w:eastAsia="楷体" w:cs="楷体"/>
        </w:rPr>
        <w:t>所谓“善庄”就是那些把股价拉升到合理估值或者略微比合理估值高一点的时候就停止拉升，不会推到严重的泡沫水平，这种“善庄”其实就是搞价值发现的理性资金。“恶庄”是把股价推到合理估值之后还要再更</w:t>
      </w:r>
      <w:r>
        <w:rPr>
          <w:rFonts w:hint="eastAsia" w:ascii="楷体" w:hAnsi="楷体" w:eastAsia="楷体" w:cs="楷体"/>
          <w:lang w:eastAsia="zh-CN"/>
        </w:rPr>
        <w:t>猛烈地</w:t>
      </w:r>
      <w:r>
        <w:rPr>
          <w:rFonts w:hint="eastAsia" w:ascii="楷体" w:hAnsi="楷体" w:eastAsia="楷体" w:cs="楷体"/>
        </w:rPr>
        <w:t>推到高估值泡沫区域，在高估值泡沫区释放他们编造出来的利多，诱骗社会大众，把自己的高估股票卖给社会大众套死社会大众。因为庄家的钱是自己的，他要高位卖出的，他会顾及泡沫不能太高，如果泡沫特别严重，所有的参与者都看出来那是严重的泡沫是高风险的，“恶庄”就卖不掉了。由于</w:t>
      </w:r>
      <w:r>
        <w:rPr>
          <w:rFonts w:hint="eastAsia" w:ascii="楷体" w:hAnsi="楷体" w:eastAsia="楷体" w:cs="楷体"/>
          <w:b/>
          <w:bCs/>
          <w:color w:val="000000" w:themeColor="text1"/>
          <w14:textFill>
            <w14:solidFill>
              <w14:schemeClr w14:val="tx1"/>
            </w14:solidFill>
          </w14:textFill>
        </w:rPr>
        <w:t>庄家需要把股票卖给别人，实现增值的盈利模式特点决定了，庄家对泡沫的推动是适可而止的。否则他是卖不掉的，实现不了增值盈利的目的。</w:t>
      </w:r>
    </w:p>
    <w:p>
      <w:pPr>
        <w:pStyle w:val="11"/>
        <w:keepNext w:val="0"/>
        <w:keepLines w:val="0"/>
        <w:pageBreakBefore w:val="0"/>
        <w:widowControl w:val="0"/>
        <w:kinsoku/>
        <w:wordWrap/>
        <w:overflowPunct/>
        <w:topLinePunct w:val="0"/>
        <w:autoSpaceDE/>
        <w:autoSpaceDN/>
        <w:bidi w:val="0"/>
        <w:adjustRightInd w:val="0"/>
        <w:snapToGrid w:val="0"/>
        <w:spacing w:before="0" w:beforeLines="50" w:beforeAutospacing="0" w:after="0" w:afterLines="50" w:afterAutospacing="0" w:line="360" w:lineRule="auto"/>
        <w:ind w:firstLine="480" w:firstLineChars="200"/>
        <w:jc w:val="both"/>
        <w:textAlignment w:val="baseline"/>
        <w:rPr>
          <w:rFonts w:ascii="楷体" w:hAnsi="楷体" w:eastAsia="楷体" w:cs="楷体"/>
          <w:b/>
          <w:bCs/>
        </w:rPr>
      </w:pPr>
      <w:r>
        <w:rPr>
          <w:rFonts w:hint="eastAsia" w:ascii="楷体" w:hAnsi="楷体" w:eastAsia="楷体" w:cs="楷体"/>
        </w:rPr>
        <w:t>再看一下公募基金做大之后，中国股市周期性出现1</w:t>
      </w:r>
      <w:r>
        <w:rPr>
          <w:rFonts w:hint="eastAsia" w:ascii="楷体" w:hAnsi="楷体" w:eastAsia="楷体" w:cs="楷体"/>
          <w:lang w:eastAsia="zh-CN"/>
        </w:rPr>
        <w:t>～</w:t>
      </w:r>
      <w:r>
        <w:rPr>
          <w:rFonts w:hint="eastAsia" w:ascii="楷体" w:hAnsi="楷体" w:eastAsia="楷体" w:cs="楷体"/>
        </w:rPr>
        <w:t>2年的时间内股价</w:t>
      </w:r>
      <w:r>
        <w:rPr>
          <w:rFonts w:hint="eastAsia" w:ascii="楷体" w:hAnsi="楷体" w:eastAsia="楷体" w:cs="楷体"/>
          <w:lang w:eastAsia="zh-CN"/>
        </w:rPr>
        <w:t>急速</w:t>
      </w:r>
      <w:r>
        <w:rPr>
          <w:rFonts w:hint="eastAsia" w:ascii="楷体" w:hAnsi="楷体" w:eastAsia="楷体" w:cs="楷体"/>
        </w:rPr>
        <w:t>暴涨，涨幅在几倍之上。如此大幅度的</w:t>
      </w:r>
      <w:r>
        <w:rPr>
          <w:rFonts w:hint="eastAsia" w:ascii="楷体" w:hAnsi="楷体" w:eastAsia="楷体" w:cs="楷体"/>
          <w:lang w:eastAsia="zh-CN"/>
        </w:rPr>
        <w:t>急速</w:t>
      </w:r>
      <w:r>
        <w:rPr>
          <w:rFonts w:hint="eastAsia" w:ascii="楷体" w:hAnsi="楷体" w:eastAsia="楷体" w:cs="楷体"/>
        </w:rPr>
        <w:t>上涨制造了太大、太明显的泡沫，严重的泡沫必然的崩溃，先经历急跌，随后进入漫漫的阴跌。由此中国股市在2002年之后出现了更加明显的牛短熊长，公募时代出现比庄家时代更加困难的局面。在客观事实层面公募崛起后，中国股市的稳定性反而发生了倒退。</w:t>
      </w:r>
      <w:r>
        <w:rPr>
          <w:rFonts w:hint="eastAsia" w:ascii="楷体" w:hAnsi="楷体" w:eastAsia="楷体" w:cs="楷体"/>
          <w:b/>
          <w:bCs/>
        </w:rPr>
        <w:t>这种倒退的原因是公募基金所使用的钱都是社会大众的，公募基金公司本身的盈利不靠在股票市场上把股票卖给其他主体来赚钱。公募基金不像庄家那样必须卖出获利才能赚钱。公募基金是不需要把自己手中的股票卖出就可以赚钱的，也就是说公募基金公司本身的盈利不是靠基金的资产实质增值来实现的。公募基金收费模式使得基金能不能给出资人赚钱不影响公募基金的利益，公募基金的利益直接</w:t>
      </w:r>
      <w:r>
        <w:rPr>
          <w:rFonts w:hint="eastAsia" w:ascii="楷体" w:hAnsi="楷体" w:eastAsia="楷体" w:cs="楷体"/>
          <w:b/>
          <w:bCs/>
          <w:lang w:eastAsia="zh-CN"/>
        </w:rPr>
        <w:t>来自</w:t>
      </w:r>
      <w:r>
        <w:rPr>
          <w:rFonts w:hint="eastAsia" w:ascii="楷体" w:hAnsi="楷体" w:eastAsia="楷体" w:cs="楷体"/>
          <w:b/>
          <w:bCs/>
        </w:rPr>
        <w:t>基金规模，只要基金规模壮大，并且保持在一定规模水平上公募基金公司就确定盈利了。基金的出资人盈利是依赖于基金资产增值的，公募基金公司和基金经理的盈利不依赖于基金资产增值。由此公募基金的盈利与基金出资人盈利没有任何直接联系。对于公募基金公司，他首先考虑的是自己怎么样壮大规模，自己怎么样盈利，而不是让基金资产增值以实现出资人的利益。</w:t>
      </w:r>
    </w:p>
    <w:p>
      <w:pPr>
        <w:pStyle w:val="11"/>
        <w:keepNext w:val="0"/>
        <w:keepLines w:val="0"/>
        <w:pageBreakBefore w:val="0"/>
        <w:widowControl w:val="0"/>
        <w:kinsoku/>
        <w:wordWrap/>
        <w:overflowPunct/>
        <w:topLinePunct w:val="0"/>
        <w:autoSpaceDE/>
        <w:autoSpaceDN/>
        <w:bidi w:val="0"/>
        <w:adjustRightInd w:val="0"/>
        <w:snapToGrid w:val="0"/>
        <w:spacing w:before="0" w:beforeLines="50" w:beforeAutospacing="0" w:after="0" w:afterLines="50" w:afterAutospacing="0" w:line="360" w:lineRule="auto"/>
        <w:ind w:firstLine="480" w:firstLineChars="200"/>
        <w:jc w:val="both"/>
        <w:textAlignment w:val="baseline"/>
        <w:rPr>
          <w:rFonts w:ascii="楷体" w:hAnsi="楷体" w:eastAsia="楷体" w:cs="楷体"/>
        </w:rPr>
      </w:pPr>
      <w:r>
        <w:rPr>
          <w:rFonts w:hint="eastAsia" w:ascii="楷体" w:hAnsi="楷体" w:eastAsia="楷体" w:cs="楷体"/>
        </w:rPr>
        <w:t>怎么样壮大规模呢？</w:t>
      </w:r>
    </w:p>
    <w:p>
      <w:pPr>
        <w:pStyle w:val="11"/>
        <w:keepNext w:val="0"/>
        <w:keepLines w:val="0"/>
        <w:pageBreakBefore w:val="0"/>
        <w:widowControl w:val="0"/>
        <w:kinsoku/>
        <w:wordWrap/>
        <w:overflowPunct/>
        <w:topLinePunct w:val="0"/>
        <w:autoSpaceDE/>
        <w:autoSpaceDN/>
        <w:bidi w:val="0"/>
        <w:adjustRightInd w:val="0"/>
        <w:snapToGrid w:val="0"/>
        <w:spacing w:before="0" w:beforeLines="50" w:beforeAutospacing="0" w:after="0" w:afterLines="50" w:afterAutospacing="0" w:line="360" w:lineRule="auto"/>
        <w:ind w:firstLine="482" w:firstLineChars="200"/>
        <w:jc w:val="both"/>
        <w:textAlignment w:val="baseline"/>
        <w:rPr>
          <w:rFonts w:ascii="楷体" w:hAnsi="楷体" w:eastAsia="楷体" w:cs="楷体"/>
          <w:b/>
          <w:bCs/>
        </w:rPr>
      </w:pPr>
      <w:r>
        <w:rPr>
          <w:rFonts w:hint="eastAsia" w:ascii="楷体" w:hAnsi="楷体" w:eastAsia="楷体" w:cs="楷体"/>
          <w:b/>
          <w:bCs/>
        </w:rPr>
        <w:t>制造出一个罕见的不正常的超高收益，以引诱大众加入他们的基金是迄今为止最高效最快速</w:t>
      </w:r>
      <w:r>
        <w:rPr>
          <w:rFonts w:hint="eastAsia" w:ascii="楷体" w:hAnsi="楷体" w:eastAsia="楷体" w:cs="楷体"/>
          <w:b/>
          <w:bCs/>
          <w:lang w:eastAsia="zh-CN"/>
        </w:rPr>
        <w:t>地</w:t>
      </w:r>
      <w:r>
        <w:rPr>
          <w:rFonts w:hint="eastAsia" w:ascii="楷体" w:hAnsi="楷体" w:eastAsia="楷体" w:cs="楷体"/>
          <w:b/>
          <w:bCs/>
        </w:rPr>
        <w:t>壮大基金规模的方法，虽然这种方法会带来基金出资人必然的损失和资本市场必然的危机。但对于专注于扩张自己利益的基金公司来说，出资人不赚钱，资本市场发生危机，不影响他们盈利。这就是为什么公募基金壮大和中国股市周期性出现急速的疯牛的本质原因。因为泡沫破裂导致基金净值明显的下跌，很多基金出资人都被套死了，反而不会赎回，把出资人套死的时间越长越久，公募基金收的钱越多，基金公司的利益更稳固了！这就是为什么疯牛之后，总是出现一个漫长的熊途的原因。</w:t>
      </w:r>
    </w:p>
    <w:p>
      <w:pPr>
        <w:pStyle w:val="3"/>
        <w:keepNext/>
        <w:keepLines/>
        <w:pageBreakBefore w:val="0"/>
        <w:widowControl w:val="0"/>
        <w:kinsoku/>
        <w:wordWrap/>
        <w:overflowPunct/>
        <w:topLinePunct w:val="0"/>
        <w:autoSpaceDE/>
        <w:autoSpaceDN/>
        <w:bidi w:val="0"/>
        <w:adjustRightInd w:val="0"/>
        <w:snapToGrid w:val="0"/>
        <w:spacing w:line="360" w:lineRule="auto"/>
        <w:ind w:firstLine="640" w:firstLineChars="200"/>
        <w:textAlignment w:val="auto"/>
        <w:rPr>
          <w:szCs w:val="30"/>
        </w:rPr>
      </w:pPr>
      <w:bookmarkStart w:id="7" w:name="_Toc30185"/>
      <w:r>
        <w:rPr>
          <w:szCs w:val="30"/>
        </w:rPr>
        <w:t>（二）公募VS游资</w:t>
      </w:r>
      <w:bookmarkEnd w:id="7"/>
    </w:p>
    <w:p>
      <w:pPr>
        <w:pStyle w:val="6"/>
        <w:keepNext w:val="0"/>
        <w:keepLines w:val="0"/>
        <w:pageBreakBefore w:val="0"/>
        <w:widowControl/>
        <w:kinsoku/>
        <w:wordWrap/>
        <w:overflowPunct/>
        <w:topLinePunct w:val="0"/>
        <w:autoSpaceDE/>
        <w:autoSpaceDN/>
        <w:bidi w:val="0"/>
        <w:adjustRightInd w:val="0"/>
        <w:snapToGrid/>
        <w:spacing w:before="0" w:after="0" w:line="240" w:lineRule="auto"/>
        <w:ind w:firstLine="0" w:firstLineChars="0"/>
        <w:jc w:val="both"/>
        <w:textAlignment w:val="auto"/>
        <w:rPr>
          <w:color w:val="000000"/>
        </w:rPr>
      </w:pPr>
      <w:r>
        <w:drawing>
          <wp:inline distT="0" distB="0" distL="114300" distR="114300">
            <wp:extent cx="5727700" cy="3109595"/>
            <wp:effectExtent l="0" t="0" r="2540" b="1460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34"/>
                    <a:stretch>
                      <a:fillRect/>
                    </a:stretch>
                  </pic:blipFill>
                  <pic:spPr>
                    <a:xfrm>
                      <a:off x="0" y="0"/>
                      <a:ext cx="5727700" cy="3109595"/>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autoSpaceDN/>
        <w:bidi w:val="0"/>
        <w:adjustRightInd w:val="0"/>
        <w:snapToGrid w:val="0"/>
        <w:spacing w:before="0" w:beforeLines="50" w:beforeAutospacing="0" w:after="0" w:afterLines="50" w:afterAutospacing="0" w:line="360" w:lineRule="auto"/>
        <w:ind w:firstLine="480" w:firstLineChars="200"/>
        <w:jc w:val="both"/>
        <w:textAlignment w:val="baseline"/>
        <w:rPr>
          <w:rFonts w:ascii="楷体" w:hAnsi="楷体" w:eastAsia="楷体" w:cs="楷体"/>
          <w:b/>
          <w:bCs/>
        </w:rPr>
      </w:pPr>
      <w:r>
        <w:rPr>
          <w:rFonts w:hint="eastAsia" w:ascii="楷体" w:hAnsi="楷体" w:eastAsia="楷体" w:cs="楷体"/>
        </w:rPr>
        <w:t>在过去6年中，公募基金重仓股和中证1000指数都出现了明显的泡沫。两个泡沫对比发现</w:t>
      </w:r>
      <w:r>
        <w:rPr>
          <w:rFonts w:hint="eastAsia" w:ascii="楷体" w:hAnsi="楷体" w:eastAsia="楷体" w:cs="楷体"/>
          <w:b/>
          <w:bCs/>
        </w:rPr>
        <w:t>基金重仓股的泡沫比炒作型游资主导的中证1000指数的泡沫度明显的大</w:t>
      </w:r>
      <w:r>
        <w:rPr>
          <w:rFonts w:hint="eastAsia" w:ascii="楷体" w:hAnsi="楷体" w:eastAsia="楷体" w:cs="楷体"/>
        </w:rPr>
        <w:t>，</w:t>
      </w:r>
      <w:r>
        <w:rPr>
          <w:rFonts w:hint="eastAsia" w:ascii="楷体" w:hAnsi="楷体" w:eastAsia="楷体" w:cs="楷体"/>
          <w:b/>
          <w:bCs/>
        </w:rPr>
        <w:t>而且基金重仓的泡沫形成后，在高位维持的时间比较长，中证1000泡沫触及一个高点后立即开始了去泡沫。</w:t>
      </w:r>
    </w:p>
    <w:p>
      <w:pPr>
        <w:pStyle w:val="11"/>
        <w:keepNext w:val="0"/>
        <w:keepLines w:val="0"/>
        <w:pageBreakBefore w:val="0"/>
        <w:widowControl w:val="0"/>
        <w:kinsoku/>
        <w:wordWrap/>
        <w:overflowPunct/>
        <w:topLinePunct w:val="0"/>
        <w:autoSpaceDE/>
        <w:autoSpaceDN/>
        <w:bidi w:val="0"/>
        <w:adjustRightInd w:val="0"/>
        <w:snapToGrid w:val="0"/>
        <w:spacing w:before="0" w:beforeLines="50" w:beforeAutospacing="0" w:after="0" w:afterLines="50" w:afterAutospacing="0" w:line="360" w:lineRule="auto"/>
        <w:ind w:firstLine="480" w:firstLineChars="200"/>
        <w:jc w:val="both"/>
        <w:textAlignment w:val="baseline"/>
        <w:rPr>
          <w:rFonts w:ascii="楷体" w:hAnsi="楷体" w:eastAsia="楷体" w:cs="楷体"/>
        </w:rPr>
      </w:pPr>
      <w:r>
        <w:rPr>
          <w:rFonts w:hint="eastAsia" w:ascii="楷体" w:hAnsi="楷体" w:eastAsia="楷体" w:cs="楷体"/>
        </w:rPr>
        <w:t>这是为什么？</w:t>
      </w:r>
    </w:p>
    <w:p>
      <w:pPr>
        <w:pStyle w:val="11"/>
        <w:keepNext w:val="0"/>
        <w:keepLines w:val="0"/>
        <w:pageBreakBefore w:val="0"/>
        <w:widowControl w:val="0"/>
        <w:kinsoku/>
        <w:wordWrap/>
        <w:overflowPunct/>
        <w:topLinePunct w:val="0"/>
        <w:autoSpaceDE/>
        <w:autoSpaceDN/>
        <w:bidi w:val="0"/>
        <w:adjustRightInd w:val="0"/>
        <w:snapToGrid w:val="0"/>
        <w:spacing w:before="0" w:beforeLines="50" w:beforeAutospacing="0" w:after="0" w:afterLines="50" w:afterAutospacing="0" w:line="360" w:lineRule="auto"/>
        <w:ind w:firstLine="480" w:firstLineChars="200"/>
        <w:jc w:val="both"/>
        <w:textAlignment w:val="baseline"/>
        <w:rPr>
          <w:rFonts w:ascii="楷体" w:hAnsi="楷体" w:eastAsia="楷体" w:cs="楷体"/>
        </w:rPr>
      </w:pPr>
      <w:r>
        <w:rPr>
          <w:rFonts w:hint="eastAsia" w:ascii="楷体" w:hAnsi="楷体" w:eastAsia="楷体" w:cs="楷体"/>
        </w:rPr>
        <w:t>原因是中证1000的成分股主要是中小盘，由于体量较小，在市场上常常是炒作性游资聚集于中证1000的成分股中，这里的炒作性游资实际上就是早期的庄家，2002年监管层大力发展公募基金打击庄家，但是庄家并没有完全绝迹，炒作性游资一定程度上就是早年</w:t>
      </w:r>
      <w:r>
        <w:rPr>
          <w:rFonts w:hint="eastAsia" w:ascii="楷体" w:hAnsi="楷体" w:eastAsia="楷体" w:cs="楷体"/>
          <w:lang w:eastAsia="zh-CN"/>
        </w:rPr>
        <w:t>庄家</w:t>
      </w:r>
      <w:r>
        <w:rPr>
          <w:rFonts w:hint="eastAsia" w:ascii="楷体" w:hAnsi="楷体" w:eastAsia="楷体" w:cs="楷体"/>
        </w:rPr>
        <w:t>的延续。这些炒作性游资聚集于中证1000成分股是因为炒作性游资的规模体量往往不是特别大，中证1000成分股的体量正好让炒作性游资有限的资金能够在中小盘股上有定价权。所以中证1000的走势更多</w:t>
      </w:r>
      <w:r>
        <w:rPr>
          <w:rFonts w:hint="eastAsia" w:ascii="楷体" w:hAnsi="楷体" w:eastAsia="楷体" w:cs="楷体"/>
          <w:lang w:eastAsia="zh-CN"/>
        </w:rPr>
        <w:t>地</w:t>
      </w:r>
      <w:r>
        <w:rPr>
          <w:rFonts w:hint="eastAsia" w:ascii="楷体" w:hAnsi="楷体" w:eastAsia="楷体" w:cs="楷体"/>
        </w:rPr>
        <w:t>表现了炒作性行为特征，也就是庄家的行为特征。把中证1000和公募基金重仓股放在一起，我们看到的一个事实：</w:t>
      </w:r>
    </w:p>
    <w:p>
      <w:pPr>
        <w:pStyle w:val="11"/>
        <w:keepNext w:val="0"/>
        <w:keepLines w:val="0"/>
        <w:pageBreakBefore w:val="0"/>
        <w:widowControl w:val="0"/>
        <w:kinsoku/>
        <w:wordWrap/>
        <w:overflowPunct/>
        <w:topLinePunct w:val="0"/>
        <w:autoSpaceDE/>
        <w:autoSpaceDN/>
        <w:bidi w:val="0"/>
        <w:adjustRightInd w:val="0"/>
        <w:snapToGrid w:val="0"/>
        <w:spacing w:before="0" w:beforeLines="50" w:beforeAutospacing="0" w:after="0" w:afterLines="50" w:afterAutospacing="0" w:line="360" w:lineRule="auto"/>
        <w:ind w:firstLine="482" w:firstLineChars="200"/>
        <w:jc w:val="both"/>
        <w:textAlignment w:val="baseline"/>
        <w:rPr>
          <w:rFonts w:ascii="楷体" w:hAnsi="楷体" w:eastAsia="楷体" w:cs="楷体"/>
          <w:b/>
          <w:bCs/>
        </w:rPr>
      </w:pPr>
      <w:r>
        <w:rPr>
          <w:rFonts w:hint="eastAsia" w:ascii="楷体" w:hAnsi="楷体" w:eastAsia="楷体" w:cs="楷体"/>
          <w:b/>
          <w:bCs/>
        </w:rPr>
        <w:t>一方面绝对泡沫度公募基金更大，另一方面泡沫维持的时间公募基金较长。</w:t>
      </w:r>
    </w:p>
    <w:p>
      <w:pPr>
        <w:pStyle w:val="11"/>
        <w:keepNext w:val="0"/>
        <w:keepLines w:val="0"/>
        <w:pageBreakBefore w:val="0"/>
        <w:widowControl w:val="0"/>
        <w:kinsoku/>
        <w:wordWrap/>
        <w:overflowPunct/>
        <w:topLinePunct w:val="0"/>
        <w:autoSpaceDE/>
        <w:autoSpaceDN/>
        <w:bidi w:val="0"/>
        <w:adjustRightInd w:val="0"/>
        <w:snapToGrid w:val="0"/>
        <w:spacing w:before="0" w:beforeLines="50" w:beforeAutospacing="0" w:after="0" w:afterLines="50" w:afterAutospacing="0" w:line="360" w:lineRule="auto"/>
        <w:ind w:firstLine="482" w:firstLineChars="200"/>
        <w:jc w:val="both"/>
        <w:textAlignment w:val="baseline"/>
        <w:rPr>
          <w:rFonts w:hint="eastAsia" w:ascii="楷体" w:hAnsi="楷体" w:eastAsia="楷体" w:cs="楷体"/>
          <w:b/>
          <w:bCs/>
        </w:rPr>
      </w:pPr>
      <w:r>
        <w:rPr>
          <w:rFonts w:hint="eastAsia" w:ascii="楷体" w:hAnsi="楷体" w:eastAsia="楷体" w:cs="楷体"/>
          <w:b/>
          <w:bCs/>
        </w:rPr>
        <w:t>泡沫度大说明公募基金的操纵炒作比市场</w:t>
      </w:r>
      <w:r>
        <w:rPr>
          <w:rFonts w:hint="eastAsia" w:ascii="楷体" w:hAnsi="楷体" w:eastAsia="楷体" w:cs="楷体"/>
          <w:b/>
          <w:bCs/>
          <w:lang w:eastAsia="zh-CN"/>
        </w:rPr>
        <w:t>上</w:t>
      </w:r>
      <w:r>
        <w:rPr>
          <w:rFonts w:hint="eastAsia" w:ascii="楷体" w:hAnsi="楷体" w:eastAsia="楷体" w:cs="楷体"/>
          <w:b/>
          <w:bCs/>
        </w:rPr>
        <w:t>炒作游资还要更加严重。公募基金泡沫维持时间较长，是因为泡沫维持</w:t>
      </w:r>
      <w:r>
        <w:rPr>
          <w:rFonts w:hint="eastAsia" w:ascii="楷体" w:hAnsi="楷体" w:eastAsia="楷体" w:cs="楷体"/>
          <w:b/>
          <w:bCs/>
          <w:lang w:eastAsia="zh-CN"/>
        </w:rPr>
        <w:t>得</w:t>
      </w:r>
      <w:r>
        <w:rPr>
          <w:rFonts w:hint="eastAsia" w:ascii="楷体" w:hAnsi="楷体" w:eastAsia="楷体" w:cs="楷体"/>
          <w:b/>
          <w:bCs/>
        </w:rPr>
        <w:t>越长，基金高收益维持的时间就越长，更多的钱就会加入。公募基金更高的泡沫度，更长时间的泡沫维持，可以吸引更多的资金加入基金，从而更加壮大基金规模实现基金公司的利益。更高的泡沫以及更长的泡沫维持时间在泡沫最终破裂后带来的对出资人的伤害也越大，对市场稳定冲击也越大，但这是公募基金公司利益壮大所需要的，所以</w:t>
      </w:r>
      <w:r>
        <w:rPr>
          <w:rFonts w:hint="eastAsia" w:ascii="楷体" w:hAnsi="楷体" w:eastAsia="楷体" w:cs="楷体"/>
          <w:b/>
          <w:bCs/>
          <w:lang w:eastAsia="zh-CN"/>
        </w:rPr>
        <w:t>，</w:t>
      </w:r>
      <w:r>
        <w:rPr>
          <w:rFonts w:hint="eastAsia" w:ascii="楷体" w:hAnsi="楷体" w:eastAsia="楷体" w:cs="楷体"/>
          <w:b/>
          <w:bCs/>
        </w:rPr>
        <w:t>他就在现实中发生了。这种情况的存在为中国股市全面危机化埋下了恶的种子。</w:t>
      </w:r>
    </w:p>
    <w:p>
      <w:pPr>
        <w:pStyle w:val="11"/>
        <w:keepNext w:val="0"/>
        <w:keepLines w:val="0"/>
        <w:pageBreakBefore w:val="0"/>
        <w:widowControl w:val="0"/>
        <w:kinsoku/>
        <w:wordWrap/>
        <w:overflowPunct/>
        <w:topLinePunct w:val="0"/>
        <w:autoSpaceDE/>
        <w:autoSpaceDN/>
        <w:bidi w:val="0"/>
        <w:adjustRightInd w:val="0"/>
        <w:snapToGrid w:val="0"/>
        <w:spacing w:before="0" w:beforeLines="50" w:beforeAutospacing="0" w:after="0" w:afterLines="50" w:afterAutospacing="0" w:line="360" w:lineRule="auto"/>
        <w:ind w:firstLine="482" w:firstLineChars="200"/>
        <w:jc w:val="both"/>
        <w:textAlignment w:val="baseline"/>
        <w:rPr>
          <w:rFonts w:hint="eastAsia" w:ascii="楷体" w:hAnsi="楷体" w:eastAsia="楷体" w:cs="楷体"/>
          <w:b/>
          <w:bCs/>
        </w:rPr>
      </w:pPr>
    </w:p>
    <w:p>
      <w:pPr>
        <w:pStyle w:val="3"/>
        <w:adjustRightInd w:val="0"/>
        <w:ind w:firstLine="640" w:firstLineChars="200"/>
        <w:rPr>
          <w:szCs w:val="30"/>
        </w:rPr>
      </w:pPr>
      <w:bookmarkStart w:id="8" w:name="_Toc9540"/>
      <w:r>
        <w:rPr>
          <w:szCs w:val="30"/>
        </w:rPr>
        <w:t>（三）保险和外资</w:t>
      </w:r>
      <w:bookmarkEnd w:id="8"/>
    </w:p>
    <w:p>
      <w:pPr>
        <w:pStyle w:val="11"/>
        <w:keepNext w:val="0"/>
        <w:keepLines w:val="0"/>
        <w:pageBreakBefore w:val="0"/>
        <w:widowControl w:val="0"/>
        <w:kinsoku/>
        <w:wordWrap/>
        <w:overflowPunct/>
        <w:topLinePunct w:val="0"/>
        <w:autoSpaceDE/>
        <w:autoSpaceDN/>
        <w:bidi w:val="0"/>
        <w:adjustRightInd w:val="0"/>
        <w:snapToGrid w:val="0"/>
        <w:spacing w:before="0" w:beforeLines="50" w:beforeAutospacing="0" w:after="0" w:afterLines="50" w:afterAutospacing="0" w:line="360" w:lineRule="auto"/>
        <w:ind w:firstLine="480" w:firstLineChars="200"/>
        <w:jc w:val="both"/>
        <w:textAlignment w:val="baseline"/>
        <w:rPr>
          <w:rFonts w:ascii="楷体" w:hAnsi="楷体" w:eastAsia="楷体" w:cs="楷体"/>
          <w:sz w:val="24"/>
          <w:szCs w:val="24"/>
        </w:rPr>
      </w:pPr>
      <w:r>
        <w:rPr>
          <w:rFonts w:hint="eastAsia" w:ascii="楷体" w:hAnsi="楷体" w:eastAsia="楷体" w:cs="楷体"/>
          <w:sz w:val="24"/>
          <w:szCs w:val="24"/>
        </w:rPr>
        <w:t>除了以上两类公募基金和社会游资外，市场还有其他机构投资者，其中最主要的是保险和外资。中国股市上的外资和保险资金各自有几万亿。体量上是主流公募基金的1/3</w:t>
      </w:r>
      <w:r>
        <w:rPr>
          <w:rFonts w:hint="eastAsia" w:ascii="楷体" w:hAnsi="楷体" w:eastAsia="楷体" w:cs="楷体"/>
          <w:sz w:val="22"/>
          <w:szCs w:val="22"/>
          <w:lang w:eastAsia="zh-CN"/>
        </w:rPr>
        <w:t>～</w:t>
      </w:r>
      <w:r>
        <w:rPr>
          <w:rFonts w:hint="eastAsia" w:ascii="楷体" w:hAnsi="楷体" w:eastAsia="楷体" w:cs="楷体"/>
          <w:sz w:val="24"/>
          <w:szCs w:val="24"/>
        </w:rPr>
        <w:t>1/2，他们的体量也已经形成了定价权。但是我们没有看到保险公司和外资主导的板块走出了类似于公募基金和游资的那种走势。为什么保险公司和外资手里同样掌握着定价权，但这两类资金没有走上用手中定价权制造极速暴涨在高位收割社会大众的割韭菜之路呢？</w:t>
      </w:r>
    </w:p>
    <w:p>
      <w:pPr>
        <w:keepNext w:val="0"/>
        <w:keepLines w:val="0"/>
        <w:pageBreakBefore w:val="0"/>
        <w:widowControl w:val="0"/>
        <w:shd w:val="clear" w:color="auto" w:fill="FFFFFF"/>
        <w:kinsoku/>
        <w:wordWrap/>
        <w:overflowPunct/>
        <w:topLinePunct w:val="0"/>
        <w:autoSpaceDE/>
        <w:autoSpaceDN/>
        <w:bidi w:val="0"/>
        <w:adjustRightInd w:val="0"/>
        <w:snapToGrid w:val="0"/>
        <w:spacing w:before="0" w:beforeLines="50" w:after="0" w:afterLines="50"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这是因为</w:t>
      </w:r>
      <w:r>
        <w:rPr>
          <w:rFonts w:hint="eastAsia" w:ascii="楷体" w:hAnsi="楷体" w:eastAsia="楷体" w:cs="楷体"/>
          <w:b/>
          <w:bCs/>
          <w:sz w:val="24"/>
          <w:szCs w:val="24"/>
        </w:rPr>
        <w:t>保险公司用于二级市场投资的资金，都是保护用于养老、防病、防灾的保险金，这些保险金将在未来几十年才会用到。资金特点使得保险公司在二级市场上的投资内在</w:t>
      </w:r>
      <w:r>
        <w:rPr>
          <w:rFonts w:hint="eastAsia" w:ascii="楷体" w:hAnsi="楷体" w:eastAsia="楷体" w:cs="楷体"/>
          <w:b/>
          <w:bCs/>
          <w:sz w:val="24"/>
          <w:szCs w:val="24"/>
          <w:lang w:eastAsia="zh-CN"/>
        </w:rPr>
        <w:t>地</w:t>
      </w:r>
      <w:r>
        <w:rPr>
          <w:rFonts w:hint="eastAsia" w:ascii="楷体" w:hAnsi="楷体" w:eastAsia="楷体" w:cs="楷体"/>
          <w:b/>
          <w:bCs/>
          <w:sz w:val="24"/>
          <w:szCs w:val="24"/>
        </w:rPr>
        <w:t>着眼于长期回报，因为短期回报对于保险公司经营没有意义。保险公司的资金特征和投资需要特点，使得保险公司的盈利模式内在的合于价值投资和长期投资，保险公司利益需要决定了他更多的是一个长期投资者，基于上市公司的客观基本面的优势和长期成长来获利益。</w:t>
      </w:r>
    </w:p>
    <w:p>
      <w:pPr>
        <w:keepNext w:val="0"/>
        <w:keepLines w:val="0"/>
        <w:pageBreakBefore w:val="0"/>
        <w:widowControl w:val="0"/>
        <w:shd w:val="clear" w:color="auto" w:fill="FFFFFF"/>
        <w:kinsoku/>
        <w:wordWrap/>
        <w:overflowPunct/>
        <w:topLinePunct w:val="0"/>
        <w:autoSpaceDE/>
        <w:autoSpaceDN/>
        <w:bidi w:val="0"/>
        <w:adjustRightInd w:val="0"/>
        <w:snapToGrid w:val="0"/>
        <w:spacing w:before="0" w:beforeLines="50" w:after="0" w:afterLines="50"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同样也拥有定价权的外资身上也没有发生集中抱团操纵特定板块。为什么外资在使用手中定价权的过程中相对没有发现对股价的操作。</w:t>
      </w:r>
    </w:p>
    <w:p>
      <w:pPr>
        <w:keepNext w:val="0"/>
        <w:keepLines w:val="0"/>
        <w:pageBreakBefore w:val="0"/>
        <w:widowControl w:val="0"/>
        <w:shd w:val="clear" w:color="auto" w:fill="FFFFFF"/>
        <w:kinsoku/>
        <w:wordWrap/>
        <w:overflowPunct/>
        <w:topLinePunct w:val="0"/>
        <w:autoSpaceDE/>
        <w:autoSpaceDN/>
        <w:bidi w:val="0"/>
        <w:adjustRightInd w:val="0"/>
        <w:snapToGrid w:val="0"/>
        <w:spacing w:before="0" w:beforeLines="50" w:after="0" w:afterLines="50"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2013年因为反腐导致高端酒价格下跌，高端酒第一品牌贵州茅台的股价也大幅下跌60%。在反腐之前贵州茅台是中国公募基金的重要持仓股票，云聚了大量的公募基金，在反腐开始后公募基金纷纷抛售贵州茅台股票，除去被动投资的指数基金之外主动管理的公募基金纷纷绝尘而去。</w:t>
      </w:r>
    </w:p>
    <w:p>
      <w:pPr>
        <w:keepNext w:val="0"/>
        <w:keepLines w:val="0"/>
        <w:pageBreakBefore w:val="0"/>
        <w:widowControl w:val="0"/>
        <w:shd w:val="clear" w:color="auto" w:fill="FFFFFF"/>
        <w:kinsoku/>
        <w:wordWrap/>
        <w:overflowPunct/>
        <w:topLinePunct w:val="0"/>
        <w:autoSpaceDE/>
        <w:autoSpaceDN/>
        <w:bidi w:val="0"/>
        <w:adjustRightInd w:val="0"/>
        <w:snapToGrid w:val="0"/>
        <w:spacing w:before="0" w:beforeLines="50" w:after="0" w:afterLines="50" w:line="360" w:lineRule="auto"/>
        <w:ind w:firstLine="480" w:firstLineChars="200"/>
        <w:rPr>
          <w:rFonts w:ascii="楷体" w:hAnsi="楷体" w:eastAsia="楷体" w:cs="楷体"/>
        </w:rPr>
      </w:pPr>
      <w:r>
        <w:rPr>
          <w:rFonts w:hint="eastAsia" w:ascii="楷体" w:hAnsi="楷体" w:eastAsia="楷体" w:cs="楷体"/>
          <w:sz w:val="24"/>
          <w:szCs w:val="24"/>
        </w:rPr>
        <w:t>2011年底贵州茅台十大股东：</w:t>
      </w:r>
    </w:p>
    <w:p>
      <w:pPr>
        <w:pStyle w:val="6"/>
        <w:keepNext w:val="0"/>
        <w:keepLines w:val="0"/>
        <w:pageBreakBefore w:val="0"/>
        <w:widowControl/>
        <w:kinsoku/>
        <w:wordWrap/>
        <w:overflowPunct/>
        <w:topLinePunct w:val="0"/>
        <w:autoSpaceDE/>
        <w:autoSpaceDN/>
        <w:bidi w:val="0"/>
        <w:adjustRightInd w:val="0"/>
        <w:snapToGrid/>
        <w:spacing w:before="0" w:beforeLines="50" w:line="240" w:lineRule="auto"/>
        <w:ind w:firstLine="0" w:firstLineChars="0"/>
        <w:jc w:val="both"/>
        <w:textAlignment w:val="auto"/>
        <w:rPr>
          <w:rFonts w:ascii="楷体" w:hAnsi="楷体" w:eastAsia="楷体" w:cs="楷体"/>
        </w:rPr>
      </w:pPr>
      <w:r>
        <w:drawing>
          <wp:inline distT="0" distB="0" distL="114300" distR="114300">
            <wp:extent cx="5724525" cy="2552700"/>
            <wp:effectExtent l="0" t="0" r="5715" b="7620"/>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35"/>
                    <a:stretch>
                      <a:fillRect/>
                    </a:stretch>
                  </pic:blipFill>
                  <pic:spPr>
                    <a:xfrm>
                      <a:off x="0" y="0"/>
                      <a:ext cx="5724525" cy="2552700"/>
                    </a:xfrm>
                    <a:prstGeom prst="rect">
                      <a:avLst/>
                    </a:prstGeom>
                    <a:noFill/>
                    <a:ln>
                      <a:noFill/>
                    </a:ln>
                  </pic:spPr>
                </pic:pic>
              </a:graphicData>
            </a:graphic>
          </wp:inline>
        </w:drawing>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ind w:firstLine="480" w:firstLineChars="200"/>
        <w:jc w:val="both"/>
        <w:textAlignment w:val="auto"/>
        <w:rPr>
          <w:rFonts w:ascii="楷体" w:hAnsi="楷体" w:eastAsia="楷体" w:cs="楷体"/>
          <w:sz w:val="24"/>
          <w:szCs w:val="24"/>
        </w:rPr>
      </w:pPr>
      <w:r>
        <w:rPr>
          <w:rFonts w:hint="eastAsia" w:ascii="楷体" w:hAnsi="楷体" w:eastAsia="楷体" w:cs="楷体"/>
          <w:sz w:val="24"/>
          <w:szCs w:val="24"/>
        </w:rPr>
        <w:t>那时我基于价值投资思想和基本面分析认定茅台受到的影响是短期的，随着时间推移茅台会成功</w:t>
      </w:r>
      <w:r>
        <w:rPr>
          <w:rFonts w:hint="eastAsia" w:ascii="楷体" w:hAnsi="楷体" w:eastAsia="楷体" w:cs="楷体"/>
          <w:sz w:val="24"/>
          <w:szCs w:val="24"/>
          <w:lang w:eastAsia="zh-CN"/>
        </w:rPr>
        <w:t>地</w:t>
      </w:r>
      <w:r>
        <w:rPr>
          <w:rFonts w:hint="eastAsia" w:ascii="楷体" w:hAnsi="楷体" w:eastAsia="楷体" w:cs="楷体"/>
          <w:sz w:val="24"/>
          <w:szCs w:val="24"/>
        </w:rPr>
        <w:t>实现民间化转型，所以我在下跌过程中逆势重仓买入。在股价下跌和底部几年的不涨情况下一直耐心</w:t>
      </w:r>
      <w:r>
        <w:rPr>
          <w:rFonts w:hint="eastAsia" w:ascii="楷体" w:hAnsi="楷体" w:eastAsia="楷体" w:cs="楷体"/>
          <w:sz w:val="24"/>
          <w:szCs w:val="24"/>
          <w:lang w:eastAsia="zh-CN"/>
        </w:rPr>
        <w:t>地</w:t>
      </w:r>
      <w:r>
        <w:rPr>
          <w:rFonts w:hint="eastAsia" w:ascii="楷体" w:hAnsi="楷体" w:eastAsia="楷体" w:cs="楷体"/>
          <w:sz w:val="24"/>
          <w:szCs w:val="24"/>
        </w:rPr>
        <w:t>等待。在等待的过程中我发现，随着公募基金从贵州茅台的十大股东中消失的同时，陆陆续续大量的外资出现在贵州茅台十大股东中。包括新加坡的淡马锡公司、美国最大的公募基金奥本海默基金、德意志银行、摩根公司管理的资本都大规模涌入。从后来的历史事实看这些在茅台大幅下跌，估值处于史无前例低估时，大规模介入贵州茅台的外资做的是经典的价值投资和价值发现。最终这些外资都大获其利。</w:t>
      </w:r>
    </w:p>
    <w:p>
      <w:pPr>
        <w:keepNext w:val="0"/>
        <w:keepLines w:val="0"/>
        <w:pageBreakBefore w:val="0"/>
        <w:widowControl/>
        <w:shd w:val="clear" w:color="auto" w:fill="FFFFFF"/>
        <w:kinsoku/>
        <w:wordWrap/>
        <w:overflowPunct/>
        <w:topLinePunct w:val="0"/>
        <w:autoSpaceDE/>
        <w:autoSpaceDN/>
        <w:bidi w:val="0"/>
        <w:adjustRightInd w:val="0"/>
        <w:snapToGrid/>
        <w:spacing w:after="0" w:afterLines="50" w:line="240" w:lineRule="auto"/>
        <w:ind w:firstLine="0" w:firstLineChars="0"/>
        <w:jc w:val="right"/>
        <w:textAlignment w:val="auto"/>
        <w:rPr>
          <w:rFonts w:ascii="楷体" w:hAnsi="楷体" w:eastAsia="楷体" w:cs="楷体"/>
        </w:rPr>
      </w:pPr>
      <w:r>
        <w:drawing>
          <wp:inline distT="0" distB="0" distL="114300" distR="114300">
            <wp:extent cx="5730875" cy="2386965"/>
            <wp:effectExtent l="0" t="0" r="14605" b="5715"/>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36"/>
                    <a:stretch>
                      <a:fillRect/>
                    </a:stretch>
                  </pic:blipFill>
                  <pic:spPr>
                    <a:xfrm>
                      <a:off x="0" y="0"/>
                      <a:ext cx="5730875" cy="2386965"/>
                    </a:xfrm>
                    <a:prstGeom prst="rect">
                      <a:avLst/>
                    </a:prstGeom>
                    <a:noFill/>
                    <a:ln>
                      <a:noFill/>
                    </a:ln>
                  </pic:spPr>
                </pic:pic>
              </a:graphicData>
            </a:graphic>
          </wp:inline>
        </w:drawing>
      </w:r>
    </w:p>
    <w:p>
      <w:pPr>
        <w:shd w:val="clear" w:color="auto" w:fill="FFFFFF"/>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2014年一季度贵州茅台十大股东，公募基金纷纷离场，外资取而代之：</w:t>
      </w:r>
    </w:p>
    <w:p>
      <w:pPr>
        <w:shd w:val="clear" w:color="auto" w:fill="FFFFFF"/>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到了2018年贵州茅台股价重回1000块钱，估值水平也达到了30倍市盈率，此时外资纷纷抛售贵州茅台从十大股东中消失了，取而代之的是公募基金，在1000多块钱没有低估值的情况下再次介入贵州茅台。</w:t>
      </w:r>
    </w:p>
    <w:p>
      <w:pPr>
        <w:shd w:val="clear" w:color="auto" w:fill="FFFFFF"/>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下图是2019年6月</w:t>
      </w:r>
      <w:r>
        <w:rPr>
          <w:rFonts w:hint="eastAsia" w:ascii="楷体" w:hAnsi="楷体" w:eastAsia="楷体" w:cs="楷体"/>
          <w:sz w:val="24"/>
          <w:szCs w:val="24"/>
          <w:lang w:eastAsia="zh-CN"/>
        </w:rPr>
        <w:t>30日</w:t>
      </w:r>
      <w:r>
        <w:rPr>
          <w:rFonts w:hint="eastAsia" w:ascii="楷体" w:hAnsi="楷体" w:eastAsia="楷体" w:cs="楷体"/>
          <w:sz w:val="24"/>
          <w:szCs w:val="24"/>
        </w:rPr>
        <w:t>贵州茅台十大股东，外资获利了结，公募基金再次杀入贵州茅台。</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ind w:firstLine="0" w:firstLineChars="0"/>
        <w:jc w:val="right"/>
        <w:textAlignment w:val="auto"/>
        <w:rPr>
          <w:rFonts w:ascii="楷体" w:hAnsi="楷体" w:eastAsia="楷体" w:cs="楷体"/>
        </w:rPr>
      </w:pPr>
      <w:r>
        <w:drawing>
          <wp:inline distT="0" distB="0" distL="114300" distR="114300">
            <wp:extent cx="5725795" cy="2893060"/>
            <wp:effectExtent l="0" t="0" r="4445" b="254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37"/>
                    <a:stretch>
                      <a:fillRect/>
                    </a:stretch>
                  </pic:blipFill>
                  <pic:spPr>
                    <a:xfrm>
                      <a:off x="0" y="0"/>
                      <a:ext cx="5725795" cy="2893060"/>
                    </a:xfrm>
                    <a:prstGeom prst="rect">
                      <a:avLst/>
                    </a:prstGeom>
                    <a:noFill/>
                    <a:ln>
                      <a:noFill/>
                    </a:ln>
                  </pic:spPr>
                </pic:pic>
              </a:graphicData>
            </a:graphic>
          </wp:inline>
        </w:drawing>
      </w:r>
    </w:p>
    <w:p>
      <w:pPr>
        <w:shd w:val="clear" w:color="auto" w:fill="FFFFFF"/>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在贵州茅台上，外资展现了完全的基于价值规律、低估值买入，高估时卖出，而公募基金在贵州茅台身上跌了就疯狂卖出，涨了就疯狂买入，毫无理性、毫无对价值规律的起码尊重和践行。为什么外资自觉地践行价值投资？</w:t>
      </w:r>
    </w:p>
    <w:p>
      <w:pPr>
        <w:shd w:val="clear" w:color="auto" w:fill="FFFFFF"/>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在共同投资茅台的过程中，我认识一些外资的研究员和基金经理，我专门问过这些外资研究员和基金经理：“为什么在茅台跌出千年不遇的投资价值，公募基金不买，外资主动逆势买入，为什么外资在贵州茅台上能够践行价值投资？”对方告诉我：“外国基金经理往往在50岁以前他拿不到资金，等到50岁以后，他已经经历了五六个牛熊周期，经验特别丰富了，他知道谁有价值谁没有价值，他也知道用什么样的盈利模式能够长期存活，长期发展壮大下去，外国投资机构在资本市场上洗礼</w:t>
      </w:r>
      <w:r>
        <w:rPr>
          <w:rFonts w:hint="eastAsia" w:ascii="楷体" w:hAnsi="楷体" w:eastAsia="楷体" w:cs="楷体"/>
          <w:sz w:val="24"/>
          <w:szCs w:val="24"/>
          <w:lang w:eastAsia="zh-CN"/>
        </w:rPr>
        <w:t>了</w:t>
      </w:r>
      <w:r>
        <w:rPr>
          <w:rFonts w:hint="eastAsia" w:ascii="楷体" w:hAnsi="楷体" w:eastAsia="楷体" w:cs="楷体"/>
          <w:sz w:val="24"/>
          <w:szCs w:val="24"/>
        </w:rPr>
        <w:t>上百年，形成了金融文化、投资文化，知道只有践行价值投资才能够长期存活下去，才能在股市稳定</w:t>
      </w:r>
      <w:r>
        <w:rPr>
          <w:rFonts w:hint="eastAsia" w:ascii="楷体" w:hAnsi="楷体" w:eastAsia="楷体" w:cs="楷体"/>
          <w:sz w:val="24"/>
          <w:szCs w:val="24"/>
          <w:lang w:eastAsia="zh-CN"/>
        </w:rPr>
        <w:t>地</w:t>
      </w:r>
      <w:r>
        <w:rPr>
          <w:rFonts w:hint="eastAsia" w:ascii="楷体" w:hAnsi="楷体" w:eastAsia="楷体" w:cs="楷体"/>
          <w:sz w:val="24"/>
          <w:szCs w:val="24"/>
        </w:rPr>
        <w:t>获利。海外资本市场也经历过中国现在这个阶段情况，但是由于大家付出了惨痛的代价和损失，之后在监管层的推动下制定了很多抑制炒作操纵的法规和制度，监管层鼓励价值投资，从而就形成了用定价权炒作虽然不是完全没有，相对已经不再是主流，而是以价值投资为主的股市。”</w:t>
      </w:r>
    </w:p>
    <w:p>
      <w:pPr>
        <w:shd w:val="clear" w:color="auto" w:fill="FFFFFF"/>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我进一步问海外的投资机构相关人员：“为什么中国公募基金面对明显的贵州茅台那么低估值，那么巨大的投资机会，他不仅不买入反而疯狂卖出，纷纷夺路而逃，绝尘而去，他们看不到因反腐跌到8倍市盈率的贵州茅台那千年不遇的投资机会和投资价值吗？”</w:t>
      </w:r>
    </w:p>
    <w:p>
      <w:pPr>
        <w:shd w:val="clear" w:color="auto" w:fill="FFFFFF"/>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对方说：“他们的盈利模式和他们的利益不允许买入当时最有价值的贵州茅台。你想一想，你在茅台最有投资价值的时候买入贵州茅台，你的客户是怎么样看待你的这个行为？”</w:t>
      </w:r>
    </w:p>
    <w:p>
      <w:pPr>
        <w:shd w:val="clear" w:color="auto" w:fill="FFFFFF"/>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lang w:eastAsia="zh-CN"/>
        </w:rPr>
        <w:t>我答道</w:t>
      </w:r>
      <w:r>
        <w:rPr>
          <w:rFonts w:hint="eastAsia" w:ascii="楷体" w:hAnsi="楷体" w:eastAsia="楷体" w:cs="楷体"/>
          <w:sz w:val="24"/>
          <w:szCs w:val="24"/>
        </w:rPr>
        <w:t>：“客户非常焦虑，客户要求我马上停止买入贵州茅台，而且要求我卖出贵州茅台，客户认为我的买入是自寻死路，是执迷不悟，是已经完全陷入非理性了，如果我继续买入贵州茅台他们就会撤资。我做出了很长时间深入的思考，发现当时我面临的处境是我在帮助扩张客户的根本利益和长期利益，在贵州茅台最有投资价值的时候占有尽可能多的贵州茅台股票，将会使客户大发其财，但是客户却认为我的这个行为是在坑害客户。但是如果我不买，而且卖出贵州茅台，本质上是抛弃最有投资价值的。股票底部割肉实际是伤害客户利益的，但是客户却会鼓掌，却会支持。当时我面临这个问题的时候，足足想了好几天，最后我决定回归真相，我的命运是决定于我的行为和价值规律的。我只要做出符合价值规律的行为，我就会有美好的前途，如果我的行为不符合价值规律，哪怕客户支持，其实我也没有前途，所以我最终拒绝了客户。”</w:t>
      </w:r>
    </w:p>
    <w:p>
      <w:pPr>
        <w:shd w:val="clear" w:color="auto" w:fill="FFFFFF"/>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外资</w:t>
      </w:r>
      <w:r>
        <w:rPr>
          <w:rFonts w:hint="eastAsia" w:ascii="楷体" w:hAnsi="楷体" w:eastAsia="楷体" w:cs="楷体"/>
          <w:sz w:val="24"/>
          <w:szCs w:val="24"/>
          <w:lang w:eastAsia="zh-CN"/>
        </w:rPr>
        <w:t>问道：</w:t>
      </w:r>
      <w:r>
        <w:rPr>
          <w:rFonts w:hint="eastAsia" w:ascii="楷体" w:hAnsi="楷体" w:eastAsia="楷体" w:cs="楷体"/>
          <w:sz w:val="24"/>
          <w:szCs w:val="24"/>
        </w:rPr>
        <w:t>“你决定不按照客户错误的想法去卖出贵州茅台，而是按照正确的想法买入贵州茅台。在不断下跌过程中，你的持仓量越来越大，这个理性的、正确</w:t>
      </w:r>
      <w:r>
        <w:rPr>
          <w:rFonts w:hint="eastAsia" w:ascii="楷体" w:hAnsi="楷体" w:eastAsia="楷体" w:cs="楷体"/>
          <w:sz w:val="24"/>
          <w:szCs w:val="24"/>
          <w:lang w:eastAsia="zh-CN"/>
        </w:rPr>
        <w:t>地</w:t>
      </w:r>
      <w:r>
        <w:rPr>
          <w:rFonts w:hint="eastAsia" w:ascii="楷体" w:hAnsi="楷体" w:eastAsia="楷体" w:cs="楷体"/>
          <w:sz w:val="24"/>
          <w:szCs w:val="24"/>
        </w:rPr>
        <w:t>扩张客户利益的行为，让你的净值在短期越来越难看，这时客户怎么样做的呢？”</w:t>
      </w:r>
    </w:p>
    <w:p>
      <w:pPr>
        <w:shd w:val="clear" w:color="auto" w:fill="FFFFFF"/>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我答：“有一部分客户撤资了。”</w:t>
      </w:r>
    </w:p>
    <w:p>
      <w:pPr>
        <w:shd w:val="clear" w:color="auto" w:fill="FFFFFF"/>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外资说：“你遭遇和经历的客户撤资就是那些公募基金，不在茅台最有投资价值的时候买、反而卖的答案，如果他们像你一样那样做，他们的客户就会大规模撤资，当客户撤资的时候，他们在基金规模萎缩的同时管理费收入就大幅减少了，公募基金在考虑自己的利益和客户的利益的过程中，他巩固加强了自己的利益，放弃了对客户利益的维护。这是他的盈利模式决定的，也是他在受人之托代人理财的过程中专注的是自己的利益，而不是客户的利益导致的。这种行为一方面是一种挣客户钱的盈利模式的必然表现，另一方面不像你那样认为的，只要做正确的事情，哪怕客户不理解，自己也能有好的前途。他们是挣客户管理费的，所以必须不能得罪客户，客户是不专业的，客户的想法常常是错的，负责任的基金经理应该拒绝客户的错误想法，但是他们不拒绝，因为拒绝客户等于规模萎缩，规模萎缩等于他们自己的利益减少，这里真正的问题不是他们不知道，而是这样一种盈利模式导致的必然。”</w:t>
      </w:r>
    </w:p>
    <w:p>
      <w:pPr>
        <w:shd w:val="clear" w:color="auto" w:fill="FFFFFF"/>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外资接着说：“这种伤害客户挣客户钱的盈利模式，并不是中国独有，在全世界的资本市场都有，只不过其他国家因为金融历史发展的时间特别长，吃了很多亏以后，这种挣客户钱的盈利模式被人们识破了</w:t>
      </w:r>
      <w:r>
        <w:rPr>
          <w:rFonts w:hint="eastAsia" w:ascii="楷体" w:hAnsi="楷体" w:eastAsia="楷体" w:cs="楷体"/>
          <w:sz w:val="24"/>
          <w:szCs w:val="24"/>
          <w:lang w:eastAsia="zh-CN"/>
        </w:rPr>
        <w:t>、</w:t>
      </w:r>
      <w:r>
        <w:rPr>
          <w:rFonts w:hint="eastAsia" w:ascii="楷体" w:hAnsi="楷体" w:eastAsia="楷体" w:cs="楷体"/>
          <w:sz w:val="24"/>
          <w:szCs w:val="24"/>
        </w:rPr>
        <w:t>知晓了，在监管、舆论、包括行业自律的作用下，这种伤害客户</w:t>
      </w:r>
      <w:r>
        <w:rPr>
          <w:rFonts w:hint="eastAsia" w:ascii="楷体" w:hAnsi="楷体" w:eastAsia="楷体" w:cs="楷体"/>
          <w:sz w:val="24"/>
          <w:szCs w:val="24"/>
          <w:lang w:eastAsia="zh-CN"/>
        </w:rPr>
        <w:t>、</w:t>
      </w:r>
      <w:r>
        <w:rPr>
          <w:rFonts w:hint="eastAsia" w:ascii="楷体" w:hAnsi="楷体" w:eastAsia="楷体" w:cs="楷体"/>
          <w:sz w:val="24"/>
          <w:szCs w:val="24"/>
        </w:rPr>
        <w:t>挣客户钱的盈利模式不再是主导性主流化盈利模式。</w:t>
      </w:r>
      <w:r>
        <w:rPr>
          <w:rFonts w:hint="eastAsia" w:ascii="楷体" w:hAnsi="楷体" w:eastAsia="楷体" w:cs="楷体"/>
          <w:sz w:val="24"/>
          <w:szCs w:val="24"/>
          <w:lang w:eastAsia="zh-CN"/>
        </w:rPr>
        <w:t>20世纪</w:t>
      </w:r>
      <w:r>
        <w:rPr>
          <w:rFonts w:hint="eastAsia" w:ascii="楷体" w:hAnsi="楷体" w:eastAsia="楷体" w:cs="楷体"/>
          <w:sz w:val="24"/>
          <w:szCs w:val="24"/>
        </w:rPr>
        <w:t>70年代的美国漂亮50的暴涨和随后的暴跌，也是这种伤害客户挣客户钱的盈利模式的表现，当漂亮50崩溃之后，在事实的教育下一部分资产管理人走向了理性的价值投资，再加上政策的推动，最终美国市场上收割客户的盈利模式不再主流化了，但是仍旧有，而且永远消灭不了！因为这是人性使然！但要能让它不再主流化就能够维护股市的稳定和长远发展。中国现在最可怕的问题就是这种割韭菜挣客户钱的盈利模式主导了市场，一旦出现这种情况，市场必然是崩溃和危机。”</w:t>
      </w:r>
    </w:p>
    <w:p>
      <w:pPr>
        <w:shd w:val="clear" w:color="auto" w:fill="FFFFFF"/>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外资同行给我介绍的外资在长期发展历史经验和教训打磨下，价值投资的理念和盈利模式已经成为市场上的相对主角。加之进入中国的外资又是外资中龙头企业居多，相对更理性，从而他的行为与价值规律保持了一致。不热衷于操纵炒作收割别人。</w:t>
      </w:r>
    </w:p>
    <w:p>
      <w:pPr>
        <w:shd w:val="clear" w:color="auto" w:fill="FFFFFF"/>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除去这些有一定规模掌握定价权的资金之外，市场上还有更小的资金他们没有定价权，只能追随有定价权的资金所创造出来的上涨或下跌的趋势，助推、放大已经形成的涨跌态势。这些追随者完全不在意涨跌是否符合价值规律，他们在意的只是涨跌本身和对涨跌的追随。至于涨跌合理不合理，是不是泡沫式上涨？是不是操纵下非理性上涨；下跌的时候是不是由于恐慌导致的过度下跌，不在他们思考范围之内。他们没有估值合理不合理的概念，是否符合价值规律。他们是市场波动的推波助澜者和放大者。</w:t>
      </w:r>
    </w:p>
    <w:p>
      <w:pPr>
        <w:shd w:val="clear" w:color="auto" w:fill="FFFFFF"/>
        <w:adjustRightInd w:val="0"/>
        <w:spacing w:line="360" w:lineRule="auto"/>
        <w:ind w:firstLine="480" w:firstLineChars="200"/>
        <w:jc w:val="both"/>
        <w:rPr>
          <w:rFonts w:hint="eastAsia" w:ascii="楷体" w:hAnsi="楷体" w:eastAsia="楷体" w:cs="楷体"/>
          <w:sz w:val="24"/>
          <w:szCs w:val="24"/>
        </w:rPr>
      </w:pPr>
      <w:r>
        <w:rPr>
          <w:rFonts w:hint="eastAsia" w:ascii="楷体" w:hAnsi="楷体" w:eastAsia="楷体" w:cs="楷体"/>
          <w:sz w:val="24"/>
          <w:szCs w:val="24"/>
        </w:rPr>
        <w:t>在如此多的资金类型中，为什么主流和次主流资金制造泡沫能带崩中国资本市场？在有50个学生的课堂上，使课堂秩序乱到老师无法讲课</w:t>
      </w:r>
      <w:r>
        <w:rPr>
          <w:rFonts w:hint="eastAsia" w:ascii="楷体" w:hAnsi="楷体" w:eastAsia="楷体" w:cs="楷体"/>
          <w:sz w:val="24"/>
          <w:szCs w:val="24"/>
          <w:lang w:eastAsia="zh-CN"/>
        </w:rPr>
        <w:t>，</w:t>
      </w:r>
      <w:r>
        <w:rPr>
          <w:rFonts w:hint="eastAsia" w:ascii="楷体" w:hAnsi="楷体" w:eastAsia="楷体" w:cs="楷体"/>
          <w:sz w:val="24"/>
          <w:szCs w:val="24"/>
        </w:rPr>
        <w:t>不需要所有的同学都说话捣乱，最多10个同学说话捣乱不配合老师，这个课堂就没法讲课了。中国股市的公募基金相当于是班集体里的班长，次主流的游资相当是学习委员。当班长和学习委员干扰课堂秩序时，班里的跟风者强化了这种干扰和破坏。这就是为什么基金重仓和游资主导的局部的严重泡沫能把整个市场带崩的原因！</w:t>
      </w:r>
    </w:p>
    <w:p>
      <w:pPr>
        <w:shd w:val="clear" w:color="auto" w:fill="FFFFFF"/>
        <w:adjustRightInd w:val="0"/>
        <w:spacing w:line="360" w:lineRule="auto"/>
        <w:ind w:firstLine="480" w:firstLineChars="200"/>
        <w:jc w:val="both"/>
        <w:rPr>
          <w:rFonts w:hint="eastAsia" w:ascii="楷体" w:hAnsi="楷体" w:eastAsia="楷体" w:cs="楷体"/>
          <w:sz w:val="24"/>
          <w:szCs w:val="24"/>
        </w:rPr>
      </w:pPr>
    </w:p>
    <w:p>
      <w:pPr>
        <w:pStyle w:val="2"/>
        <w:keepNext/>
        <w:keepLines/>
        <w:pageBreakBefore w:val="0"/>
        <w:widowControl w:val="0"/>
        <w:numPr>
          <w:ilvl w:val="0"/>
          <w:numId w:val="0"/>
        </w:numPr>
        <w:kinsoku/>
        <w:wordWrap/>
        <w:overflowPunct/>
        <w:topLinePunct w:val="0"/>
        <w:autoSpaceDE/>
        <w:autoSpaceDN/>
        <w:bidi w:val="0"/>
        <w:adjustRightInd w:val="0"/>
        <w:snapToGrid w:val="0"/>
        <w:spacing w:before="0" w:beforeLines="100" w:after="0" w:afterLines="100" w:line="500" w:lineRule="exact"/>
        <w:ind w:leftChars="0"/>
        <w:textAlignment w:val="auto"/>
        <w:rPr>
          <w:szCs w:val="30"/>
        </w:rPr>
      </w:pPr>
      <w:bookmarkStart w:id="9" w:name="_Toc25262"/>
      <w:r>
        <w:rPr>
          <w:rFonts w:hint="eastAsia"/>
          <w:szCs w:val="30"/>
          <w:lang w:val="en-US" w:eastAsia="zh-CN"/>
        </w:rPr>
        <w:t>五、</w:t>
      </w:r>
      <w:r>
        <w:rPr>
          <w:szCs w:val="30"/>
        </w:rPr>
        <w:t>带</w:t>
      </w:r>
      <w:r>
        <w:rPr>
          <w:rFonts w:hint="eastAsia"/>
          <w:szCs w:val="30"/>
          <w:lang w:eastAsia="zh"/>
        </w:rPr>
        <w:t>“</w:t>
      </w:r>
      <w:r>
        <w:rPr>
          <w:szCs w:val="30"/>
        </w:rPr>
        <w:t>毒</w:t>
      </w:r>
      <w:r>
        <w:rPr>
          <w:rFonts w:hint="eastAsia"/>
          <w:szCs w:val="30"/>
          <w:lang w:eastAsia="zh"/>
        </w:rPr>
        <w:t>”</w:t>
      </w:r>
      <w:r>
        <w:rPr>
          <w:szCs w:val="30"/>
        </w:rPr>
        <w:t>的盈利模式主流化让中国股市出现生态危机</w:t>
      </w:r>
      <w:bookmarkEnd w:id="9"/>
    </w:p>
    <w:p>
      <w:pPr>
        <w:shd w:val="clear" w:color="auto" w:fill="FFFFFF"/>
        <w:adjustRightInd w:val="0"/>
        <w:spacing w:line="360" w:lineRule="auto"/>
        <w:ind w:firstLine="482" w:firstLineChars="200"/>
        <w:jc w:val="both"/>
        <w:rPr>
          <w:rFonts w:ascii="楷体" w:hAnsi="楷体" w:eastAsia="楷体" w:cs="楷体"/>
          <w:b/>
          <w:bCs/>
          <w:color w:val="000000" w:themeColor="text1"/>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主流资金和次主流资金的盈利模式不是建立在价值规律基础上，不是建立在估值合理性基础上，更不是建立在价值发现基础上，而是建立在操纵股票价格收割社会大众基础上的。为什么中国的主流资金不践行价值投资</w:t>
      </w:r>
      <w:r>
        <w:rPr>
          <w:rFonts w:hint="eastAsia" w:ascii="楷体" w:hAnsi="楷体" w:eastAsia="楷体" w:cs="楷体"/>
          <w:b/>
          <w:bCs/>
          <w:color w:val="000000" w:themeColor="text1"/>
          <w:sz w:val="24"/>
          <w:szCs w:val="24"/>
          <w:lang w:eastAsia="zh"/>
          <w14:textFill>
            <w14:solidFill>
              <w14:schemeClr w14:val="tx1"/>
            </w14:solidFill>
          </w14:textFill>
        </w:rPr>
        <w:t>？</w:t>
      </w:r>
      <w:r>
        <w:rPr>
          <w:rFonts w:hint="eastAsia" w:ascii="楷体" w:hAnsi="楷体" w:eastAsia="楷体" w:cs="楷体"/>
          <w:b/>
          <w:bCs/>
          <w:color w:val="000000" w:themeColor="text1"/>
          <w:sz w:val="24"/>
          <w:szCs w:val="24"/>
          <w14:textFill>
            <w14:solidFill>
              <w14:schemeClr w14:val="tx1"/>
            </w14:solidFill>
          </w14:textFill>
        </w:rPr>
        <w:t>原因是他们找到了通过收割社会大众获得超高收益的割韭菜盈利模式。这种割韭菜盈利模式比价值投资来</w:t>
      </w:r>
      <w:r>
        <w:rPr>
          <w:rFonts w:hint="eastAsia" w:ascii="楷体" w:hAnsi="楷体" w:eastAsia="楷体" w:cs="楷体"/>
          <w:b/>
          <w:bCs/>
          <w:color w:val="000000" w:themeColor="text1"/>
          <w:sz w:val="24"/>
          <w:szCs w:val="24"/>
          <w:lang w:eastAsia="zh"/>
          <w14:textFill>
            <w14:solidFill>
              <w14:schemeClr w14:val="tx1"/>
            </w14:solidFill>
          </w14:textFill>
        </w:rPr>
        <w:t>得</w:t>
      </w:r>
      <w:r>
        <w:rPr>
          <w:rFonts w:hint="eastAsia" w:ascii="楷体" w:hAnsi="楷体" w:eastAsia="楷体" w:cs="楷体"/>
          <w:b/>
          <w:bCs/>
          <w:color w:val="000000" w:themeColor="text1"/>
          <w:sz w:val="24"/>
          <w:szCs w:val="24"/>
          <w14:textFill>
            <w14:solidFill>
              <w14:schemeClr w14:val="tx1"/>
            </w14:solidFill>
          </w14:textFill>
        </w:rPr>
        <w:t>更快，挣</w:t>
      </w:r>
      <w:r>
        <w:rPr>
          <w:rFonts w:hint="eastAsia" w:ascii="楷体" w:hAnsi="楷体" w:eastAsia="楷体" w:cs="楷体"/>
          <w:b/>
          <w:bCs/>
          <w:color w:val="000000" w:themeColor="text1"/>
          <w:sz w:val="24"/>
          <w:szCs w:val="24"/>
          <w:lang w:eastAsia="zh"/>
          <w14:textFill>
            <w14:solidFill>
              <w14:schemeClr w14:val="tx1"/>
            </w14:solidFill>
          </w14:textFill>
        </w:rPr>
        <w:t>得</w:t>
      </w:r>
      <w:r>
        <w:rPr>
          <w:rFonts w:hint="eastAsia" w:ascii="楷体" w:hAnsi="楷体" w:eastAsia="楷体" w:cs="楷体"/>
          <w:b/>
          <w:bCs/>
          <w:color w:val="000000" w:themeColor="text1"/>
          <w:sz w:val="24"/>
          <w:szCs w:val="24"/>
          <w14:textFill>
            <w14:solidFill>
              <w14:schemeClr w14:val="tx1"/>
            </w14:solidFill>
          </w14:textFill>
        </w:rPr>
        <w:t>更多！过去几十年，中国股市割韭菜盈利模式越做越大，成了市场的主导性力量。这就是为什么</w:t>
      </w:r>
      <w:r>
        <w:rPr>
          <w:rFonts w:hint="eastAsia" w:ascii="楷体" w:hAnsi="楷体" w:eastAsia="楷体" w:cs="楷体"/>
          <w:b/>
          <w:bCs/>
          <w:color w:val="000000" w:themeColor="text1"/>
          <w:sz w:val="24"/>
          <w:szCs w:val="24"/>
          <w:lang w:eastAsia="zh"/>
          <w14:textFill>
            <w14:solidFill>
              <w14:schemeClr w14:val="tx1"/>
            </w14:solidFill>
          </w14:textFill>
        </w:rPr>
        <w:t>“</w:t>
      </w:r>
      <w:r>
        <w:rPr>
          <w:rFonts w:hint="eastAsia" w:ascii="楷体" w:hAnsi="楷体" w:eastAsia="楷体" w:cs="楷体"/>
          <w:b/>
          <w:bCs/>
          <w:color w:val="000000" w:themeColor="text1"/>
          <w:sz w:val="24"/>
          <w:szCs w:val="24"/>
          <w14:textFill>
            <w14:solidFill>
              <w14:schemeClr w14:val="tx1"/>
            </w14:solidFill>
          </w14:textFill>
        </w:rPr>
        <w:t>意图和</w:t>
      </w:r>
      <w:r>
        <w:rPr>
          <w:rFonts w:hint="eastAsia" w:ascii="楷体" w:hAnsi="楷体" w:eastAsia="楷体" w:cs="楷体"/>
          <w:b/>
          <w:bCs/>
          <w:color w:val="000000" w:themeColor="text1"/>
          <w:sz w:val="24"/>
          <w:szCs w:val="24"/>
          <w:lang w:eastAsia="zh"/>
          <w14:textFill>
            <w14:solidFill>
              <w14:schemeClr w14:val="tx1"/>
            </w14:solidFill>
          </w14:textFill>
        </w:rPr>
        <w:t>目的是</w:t>
      </w:r>
      <w:r>
        <w:rPr>
          <w:rFonts w:hint="eastAsia" w:ascii="楷体" w:hAnsi="楷体" w:eastAsia="楷体" w:cs="楷体"/>
          <w:b/>
          <w:bCs/>
          <w:color w:val="000000" w:themeColor="text1"/>
          <w:sz w:val="24"/>
          <w:szCs w:val="24"/>
          <w14:textFill>
            <w14:solidFill>
              <w14:schemeClr w14:val="tx1"/>
            </w14:solidFill>
          </w14:textFill>
        </w:rPr>
        <w:t>维护中国股市稳定而大力发展起来的公募基金，在政策呵护下不断发展壮大，成为市场中资金体量最大</w:t>
      </w:r>
      <w:r>
        <w:rPr>
          <w:rFonts w:hint="eastAsia" w:ascii="楷体" w:hAnsi="楷体" w:eastAsia="楷体" w:cs="楷体"/>
          <w:b/>
          <w:bCs/>
          <w:color w:val="000000" w:themeColor="text1"/>
          <w:sz w:val="24"/>
          <w:szCs w:val="24"/>
          <w:lang w:eastAsia="zh"/>
          <w14:textFill>
            <w14:solidFill>
              <w14:schemeClr w14:val="tx1"/>
            </w14:solidFill>
          </w14:textFill>
        </w:rPr>
        <w:t>，具</w:t>
      </w:r>
      <w:r>
        <w:rPr>
          <w:rFonts w:hint="eastAsia" w:ascii="楷体" w:hAnsi="楷体" w:eastAsia="楷体" w:cs="楷体"/>
          <w:b/>
          <w:bCs/>
          <w:color w:val="000000" w:themeColor="text1"/>
          <w:sz w:val="24"/>
          <w:szCs w:val="24"/>
          <w14:textFill>
            <w14:solidFill>
              <w14:schemeClr w14:val="tx1"/>
            </w14:solidFill>
          </w14:textFill>
        </w:rPr>
        <w:t>有最强定价权的公募基金规模越做越大后中国市场却越来越不稳定</w:t>
      </w:r>
      <w:r>
        <w:rPr>
          <w:rFonts w:hint="eastAsia" w:ascii="楷体" w:hAnsi="楷体" w:eastAsia="楷体" w:cs="楷体"/>
          <w:b/>
          <w:bCs/>
          <w:color w:val="000000" w:themeColor="text1"/>
          <w:sz w:val="24"/>
          <w:szCs w:val="24"/>
          <w:lang w:eastAsia="zh"/>
          <w14:textFill>
            <w14:solidFill>
              <w14:schemeClr w14:val="tx1"/>
            </w14:solidFill>
          </w14:textFill>
        </w:rPr>
        <w:t>”</w:t>
      </w:r>
      <w:r>
        <w:rPr>
          <w:rFonts w:hint="eastAsia" w:ascii="楷体" w:hAnsi="楷体" w:eastAsia="楷体" w:cs="楷体"/>
          <w:b/>
          <w:bCs/>
          <w:color w:val="000000" w:themeColor="text1"/>
          <w:sz w:val="24"/>
          <w:szCs w:val="24"/>
          <w14:textFill>
            <w14:solidFill>
              <w14:schemeClr w14:val="tx1"/>
            </w14:solidFill>
          </w14:textFill>
        </w:rPr>
        <w:t>的根本原因。因为在公募基金日益壮大的过程中走向了割韭菜盈利模式。割韭菜盈利模式主流化使中国资本市场周期性崩溃，成为市场深层次危机的根本原因。</w:t>
      </w:r>
      <w:r>
        <w:rPr>
          <w:rFonts w:hint="eastAsia" w:ascii="楷体" w:hAnsi="楷体" w:eastAsia="楷体" w:cs="楷体"/>
          <w:b/>
          <w:bCs/>
          <w:color w:val="000000" w:themeColor="text1"/>
          <w:sz w:val="24"/>
          <w:szCs w:val="24"/>
          <w:lang w:val="en-US" w:eastAsia="zh-CN"/>
          <w14:textFill>
            <w14:solidFill>
              <w14:schemeClr w14:val="tx1"/>
            </w14:solidFill>
          </w14:textFill>
        </w:rPr>
        <w:t>而公募基金作为占比最大的机构投资者，以公募基金为代表分析割韭菜盈利模式。</w:t>
      </w:r>
    </w:p>
    <w:p>
      <w:pPr>
        <w:pStyle w:val="3"/>
        <w:keepNext/>
        <w:keepLines/>
        <w:pageBreakBefore w:val="0"/>
        <w:widowControl w:val="0"/>
        <w:numPr>
          <w:ilvl w:val="0"/>
          <w:numId w:val="2"/>
        </w:numPr>
        <w:kinsoku/>
        <w:wordWrap/>
        <w:overflowPunct/>
        <w:topLinePunct w:val="0"/>
        <w:autoSpaceDE/>
        <w:autoSpaceDN/>
        <w:bidi w:val="0"/>
        <w:adjustRightInd w:val="0"/>
        <w:snapToGrid w:val="0"/>
        <w:spacing w:line="360" w:lineRule="auto"/>
        <w:ind w:left="669" w:hanging="669"/>
        <w:jc w:val="both"/>
        <w:textAlignment w:val="auto"/>
      </w:pPr>
      <w:bookmarkStart w:id="10" w:name="_Toc5253"/>
      <w:r>
        <w:t>公募基金通过制造泡沫和危机壮大自己</w:t>
      </w:r>
      <w:bookmarkEnd w:id="10"/>
    </w:p>
    <w:p>
      <w:pPr>
        <w:keepNext w:val="0"/>
        <w:keepLines w:val="0"/>
        <w:pageBreakBefore w:val="0"/>
        <w:widowControl w:val="0"/>
        <w:kinsoku/>
        <w:wordWrap w:val="0"/>
        <w:overflowPunct/>
        <w:topLinePunct w:val="0"/>
        <w:autoSpaceDE/>
        <w:autoSpaceDN/>
        <w:bidi w:val="0"/>
        <w:adjustRightInd w:val="0"/>
        <w:snapToGrid w:val="0"/>
        <w:spacing w:line="240" w:lineRule="auto"/>
        <w:jc w:val="right"/>
        <w:textAlignment w:val="auto"/>
        <w:rPr>
          <w:rFonts w:hint="default" w:ascii="楷体" w:hAnsi="楷体" w:eastAsia="黑体" w:cs="楷体"/>
          <w:sz w:val="28"/>
          <w:szCs w:val="28"/>
          <w:lang w:val="en-US" w:eastAsia="zh-CN"/>
        </w:rPr>
      </w:pPr>
      <w:r>
        <w:drawing>
          <wp:inline distT="0" distB="0" distL="114300" distR="114300">
            <wp:extent cx="5724525" cy="3811905"/>
            <wp:effectExtent l="0" t="0" r="5715" b="1333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38"/>
                    <a:stretch>
                      <a:fillRect/>
                    </a:stretch>
                  </pic:blipFill>
                  <pic:spPr>
                    <a:xfrm>
                      <a:off x="0" y="0"/>
                      <a:ext cx="5724525" cy="38119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0" w:after="0" w:line="360" w:lineRule="auto"/>
        <w:ind w:firstLine="480" w:firstLineChars="200"/>
        <w:textAlignment w:val="auto"/>
        <w:rPr>
          <w:rFonts w:ascii="楷体" w:hAnsi="楷体" w:eastAsia="楷体" w:cs="楷体"/>
          <w:sz w:val="24"/>
          <w:szCs w:val="24"/>
        </w:rPr>
      </w:pPr>
      <w:r>
        <w:rPr>
          <w:rFonts w:hint="eastAsia" w:ascii="楷体" w:hAnsi="楷体" w:eastAsia="楷体" w:cs="楷体"/>
          <w:sz w:val="24"/>
          <w:szCs w:val="24"/>
        </w:rPr>
        <w:t>图中可以看到全部</w:t>
      </w:r>
      <w:r>
        <w:rPr>
          <w:rFonts w:hint="eastAsia" w:ascii="楷体" w:hAnsi="楷体" w:eastAsia="楷体" w:cs="楷体"/>
          <w:sz w:val="24"/>
          <w:szCs w:val="24"/>
          <w:lang w:eastAsia="zh"/>
        </w:rPr>
        <w:t>A股</w:t>
      </w:r>
      <w:r>
        <w:rPr>
          <w:rFonts w:hint="eastAsia" w:ascii="楷体" w:hAnsi="楷体" w:eastAsia="楷体" w:cs="楷体"/>
          <w:sz w:val="24"/>
          <w:szCs w:val="24"/>
        </w:rPr>
        <w:t>的市盈率整体并不高估。过去6年的最高时刻也只有23倍，谈不上严重的高估，也就是说中国整体市场并不高估。但是我们看</w:t>
      </w:r>
      <w:r>
        <w:rPr>
          <w:rFonts w:hint="eastAsia" w:ascii="楷体" w:hAnsi="楷体" w:eastAsia="楷体" w:cs="楷体"/>
          <w:b/>
          <w:bCs/>
          <w:sz w:val="24"/>
          <w:szCs w:val="24"/>
        </w:rPr>
        <w:t>公募基金重仓股的市盈率和中证1000的市盈率。这两个指数的估值和市盈率水平毫无疑问已经到了罕见的高估值水平。这两个指数在过去6年创出的最高市盈率分别是83倍和63倍。</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firstLine="480" w:firstLineChars="200"/>
        <w:textAlignment w:val="auto"/>
        <w:rPr>
          <w:rFonts w:ascii="楷体" w:hAnsi="楷体" w:eastAsia="楷体" w:cs="楷体"/>
          <w:sz w:val="24"/>
          <w:szCs w:val="24"/>
        </w:rPr>
      </w:pPr>
      <w:r>
        <w:rPr>
          <w:rFonts w:hint="eastAsia" w:ascii="楷体" w:hAnsi="楷体" w:eastAsia="楷体" w:cs="楷体"/>
          <w:sz w:val="24"/>
          <w:szCs w:val="24"/>
        </w:rPr>
        <w:t>基金重仓股指数反映了公募基金的行为特征。中证1000的成分股是1000只市值较小的股票，这类股票往往是游资的最爱，所以中证1000这些小市值股票的走势其实反映了游资的行为特征。</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firstLine="480" w:firstLineChars="200"/>
        <w:textAlignment w:val="auto"/>
        <w:rPr>
          <w:rFonts w:ascii="楷体" w:hAnsi="楷体" w:eastAsia="楷体" w:cs="楷体"/>
          <w:color w:val="FF0000"/>
          <w:sz w:val="24"/>
          <w:szCs w:val="24"/>
          <w:shd w:val="clear" w:color="auto" w:fill="FFFF00"/>
        </w:rPr>
      </w:pPr>
      <w:r>
        <w:rPr>
          <w:rFonts w:hint="eastAsia" w:ascii="楷体" w:hAnsi="楷体" w:eastAsia="楷体" w:cs="楷体"/>
          <w:sz w:val="24"/>
          <w:szCs w:val="24"/>
        </w:rPr>
        <w:t>让我们通过金融史数据来理解泡沫的可怕程度。</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firstLine="480" w:firstLineChars="200"/>
        <w:textAlignment w:val="auto"/>
        <w:rPr>
          <w:rFonts w:ascii="楷体" w:hAnsi="楷体" w:eastAsia="楷体" w:cs="楷体"/>
          <w:b/>
          <w:bCs/>
          <w:sz w:val="24"/>
          <w:szCs w:val="24"/>
        </w:rPr>
      </w:pPr>
      <w:r>
        <w:rPr>
          <w:rFonts w:hint="eastAsia" w:ascii="楷体" w:hAnsi="楷体" w:eastAsia="楷体" w:cs="楷体"/>
          <w:sz w:val="24"/>
          <w:szCs w:val="24"/>
        </w:rPr>
        <w:t>1929年美国股市大崩溃，是人类金融史上最严重的一次金融危机和经济危机，此次危机核心原因是“市场违反价值规律过度投机形成严重泡沫”，2000年期间</w:t>
      </w:r>
      <w:r>
        <w:rPr>
          <w:rFonts w:hint="eastAsia" w:ascii="楷体" w:hAnsi="楷体" w:eastAsia="楷体" w:cs="楷体"/>
          <w:sz w:val="24"/>
          <w:szCs w:val="24"/>
          <w:lang w:eastAsia="zh"/>
        </w:rPr>
        <w:t>的</w:t>
      </w:r>
      <w:r>
        <w:rPr>
          <w:rFonts w:hint="eastAsia" w:ascii="楷体" w:hAnsi="楷体" w:eastAsia="楷体" w:cs="楷体"/>
          <w:sz w:val="24"/>
          <w:szCs w:val="24"/>
        </w:rPr>
        <w:t>美国网络股泡沫，2008年</w:t>
      </w:r>
      <w:r>
        <w:rPr>
          <w:rFonts w:hint="eastAsia" w:ascii="楷体" w:hAnsi="楷体" w:eastAsia="楷体" w:cs="楷体"/>
          <w:sz w:val="24"/>
          <w:szCs w:val="24"/>
          <w:lang w:eastAsia="zh"/>
        </w:rPr>
        <w:t>的</w:t>
      </w:r>
      <w:r>
        <w:rPr>
          <w:rFonts w:hint="eastAsia" w:ascii="楷体" w:hAnsi="楷体" w:eastAsia="楷体" w:cs="楷体"/>
          <w:sz w:val="24"/>
          <w:szCs w:val="24"/>
        </w:rPr>
        <w:t>美国金融危机都是</w:t>
      </w:r>
      <w:r>
        <w:rPr>
          <w:rFonts w:hint="eastAsia" w:ascii="楷体" w:hAnsi="楷体" w:eastAsia="楷体" w:cs="楷体"/>
          <w:b/>
          <w:bCs/>
          <w:sz w:val="24"/>
          <w:szCs w:val="24"/>
        </w:rPr>
        <w:t>非理性资金违背价值规律疯狂炒作导致的严重泡沫，泡沫最终在价值规律的作用下破裂，继而引发金融和社会经济危机。</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firstLine="480" w:firstLineChars="200"/>
        <w:textAlignment w:val="auto"/>
        <w:rPr>
          <w:rFonts w:ascii="楷体" w:hAnsi="楷体" w:eastAsia="楷体" w:cs="楷体"/>
          <w:sz w:val="24"/>
          <w:szCs w:val="24"/>
        </w:rPr>
      </w:pPr>
      <w:r>
        <w:rPr>
          <w:rFonts w:hint="eastAsia" w:ascii="楷体" w:hAnsi="楷体" w:eastAsia="楷体" w:cs="楷体"/>
          <w:sz w:val="24"/>
          <w:szCs w:val="24"/>
        </w:rPr>
        <w:t>下图的数据告诉我们，在1929年大崩溃之前，美国股市的最高市盈率平均为32倍。2000年网络股泡沫破裂时，美国股市的平均市盈率是42倍。震惊世界的美国2008金融危机泡沫破裂时的市盈率是27倍。</w:t>
      </w:r>
    </w:p>
    <w:p>
      <w:pPr>
        <w:keepNext w:val="0"/>
        <w:keepLines w:val="0"/>
        <w:pageBreakBefore w:val="0"/>
        <w:widowControl w:val="0"/>
        <w:kinsoku/>
        <w:wordWrap w:val="0"/>
        <w:overflowPunct/>
        <w:topLinePunct w:val="0"/>
        <w:autoSpaceDE/>
        <w:autoSpaceDN/>
        <w:bidi w:val="0"/>
        <w:adjustRightInd w:val="0"/>
        <w:snapToGrid w:val="0"/>
        <w:spacing w:after="0" w:afterLines="50" w:line="240" w:lineRule="auto"/>
        <w:jc w:val="right"/>
        <w:textAlignment w:val="auto"/>
        <w:rPr>
          <w:rFonts w:hint="default" w:ascii="楷体" w:hAnsi="楷体" w:eastAsia="黑体" w:cs="楷体"/>
          <w:sz w:val="28"/>
          <w:szCs w:val="28"/>
          <w:lang w:val="en-US" w:eastAsia="zh-CN"/>
        </w:rPr>
      </w:pPr>
      <w:r>
        <w:drawing>
          <wp:inline distT="0" distB="0" distL="114300" distR="114300">
            <wp:extent cx="5725795" cy="3411220"/>
            <wp:effectExtent l="0" t="0" r="4445" b="254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39"/>
                    <a:stretch>
                      <a:fillRect/>
                    </a:stretch>
                  </pic:blipFill>
                  <pic:spPr>
                    <a:xfrm>
                      <a:off x="0" y="0"/>
                      <a:ext cx="5725795" cy="3411220"/>
                    </a:xfrm>
                    <a:prstGeom prst="rect">
                      <a:avLst/>
                    </a:prstGeom>
                    <a:noFill/>
                    <a:ln>
                      <a:noFill/>
                    </a:ln>
                  </pic:spPr>
                </pic:pic>
              </a:graphicData>
            </a:graphic>
          </wp:inline>
        </w:drawing>
      </w:r>
    </w:p>
    <w:p>
      <w:pPr>
        <w:adjustRightInd w:val="0"/>
        <w:spacing w:line="360" w:lineRule="auto"/>
        <w:ind w:firstLine="480" w:firstLineChars="200"/>
        <w:rPr>
          <w:rFonts w:hint="eastAsia"/>
          <w:lang w:val="en-US" w:eastAsia="zh-CN"/>
        </w:rPr>
      </w:pPr>
      <w:r>
        <w:rPr>
          <w:rFonts w:hint="eastAsia" w:ascii="楷体" w:hAnsi="楷体" w:eastAsia="楷体" w:cs="楷体"/>
          <w:sz w:val="24"/>
          <w:szCs w:val="24"/>
        </w:rPr>
        <w:t>也就是说美国股市的整体平均市盈率超过30倍之后，都导致了引起全人类经济危机的大崩溃。我把日本股市1990年大崩溃，引发日本30年经济衰退的市盈率数据进行统计如下：</w:t>
      </w:r>
    </w:p>
    <w:p>
      <w:pPr>
        <w:keepNext w:val="0"/>
        <w:keepLines w:val="0"/>
        <w:pageBreakBefore w:val="0"/>
        <w:widowControl w:val="0"/>
        <w:kinsoku/>
        <w:wordWrap w:val="0"/>
        <w:overflowPunct/>
        <w:topLinePunct w:val="0"/>
        <w:autoSpaceDE/>
        <w:autoSpaceDN/>
        <w:bidi w:val="0"/>
        <w:adjustRightInd w:val="0"/>
        <w:snapToGrid w:val="0"/>
        <w:spacing w:before="0" w:after="0" w:afterLines="50" w:line="240" w:lineRule="auto"/>
        <w:jc w:val="right"/>
        <w:textAlignment w:val="auto"/>
        <w:rPr>
          <w:rFonts w:hint="default" w:eastAsia="黑体"/>
          <w:lang w:val="en-US" w:eastAsia="zh-CN"/>
        </w:rPr>
      </w:pPr>
      <w:r>
        <w:drawing>
          <wp:inline distT="0" distB="0" distL="114300" distR="114300">
            <wp:extent cx="5726430" cy="3137535"/>
            <wp:effectExtent l="0" t="0" r="3810" b="190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0"/>
                    <a:stretch>
                      <a:fillRect/>
                    </a:stretch>
                  </pic:blipFill>
                  <pic:spPr>
                    <a:xfrm>
                      <a:off x="0" y="0"/>
                      <a:ext cx="5726430" cy="3137535"/>
                    </a:xfrm>
                    <a:prstGeom prst="rect">
                      <a:avLst/>
                    </a:prstGeom>
                    <a:noFill/>
                    <a:ln>
                      <a:noFill/>
                    </a:ln>
                  </pic:spPr>
                </pic:pic>
              </a:graphicData>
            </a:graphic>
          </wp:inline>
        </w:drawing>
      </w:r>
    </w:p>
    <w:p>
      <w:pPr>
        <w:adjustRightIn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1990年日本股市崩溃前日经225指数达到的最高市盈率是60倍！这一罕见的高估值高泡沫，令日本股市连跌30年，让日本经济出现了</w:t>
      </w:r>
      <w:r>
        <w:rPr>
          <w:rFonts w:hint="eastAsia" w:ascii="楷体" w:hAnsi="楷体" w:eastAsia="楷体" w:cs="楷体"/>
          <w:sz w:val="24"/>
          <w:szCs w:val="24"/>
          <w:lang w:eastAsia="zh"/>
        </w:rPr>
        <w:t>“</w:t>
      </w:r>
      <w:r>
        <w:rPr>
          <w:rFonts w:hint="eastAsia" w:ascii="楷体" w:hAnsi="楷体" w:eastAsia="楷体" w:cs="楷体"/>
          <w:sz w:val="24"/>
          <w:szCs w:val="24"/>
        </w:rPr>
        <w:t>失去的30年</w:t>
      </w:r>
      <w:r>
        <w:rPr>
          <w:rFonts w:hint="eastAsia" w:ascii="楷体" w:hAnsi="楷体" w:eastAsia="楷体" w:cs="楷体"/>
          <w:sz w:val="24"/>
          <w:szCs w:val="24"/>
          <w:lang w:eastAsia="zh"/>
        </w:rPr>
        <w:t>”</w:t>
      </w:r>
      <w:r>
        <w:rPr>
          <w:rFonts w:hint="eastAsia" w:ascii="楷体" w:hAnsi="楷体" w:eastAsia="楷体" w:cs="楷体"/>
          <w:sz w:val="24"/>
          <w:szCs w:val="24"/>
        </w:rPr>
        <w:t>的严重困难。</w:t>
      </w:r>
    </w:p>
    <w:p>
      <w:pPr>
        <w:adjustRightInd w:val="0"/>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下图是上证指数的历年市盈率：</w:t>
      </w:r>
    </w:p>
    <w:p>
      <w:pPr>
        <w:keepNext w:val="0"/>
        <w:keepLines w:val="0"/>
        <w:pageBreakBefore w:val="0"/>
        <w:widowControl w:val="0"/>
        <w:kinsoku/>
        <w:wordWrap w:val="0"/>
        <w:overflowPunct/>
        <w:topLinePunct w:val="0"/>
        <w:autoSpaceDE/>
        <w:autoSpaceDN/>
        <w:bidi w:val="0"/>
        <w:adjustRightInd w:val="0"/>
        <w:snapToGrid w:val="0"/>
        <w:spacing w:after="0" w:line="240" w:lineRule="auto"/>
        <w:jc w:val="right"/>
        <w:textAlignment w:val="auto"/>
        <w:rPr>
          <w:rFonts w:hint="default" w:ascii="楷体" w:hAnsi="楷体" w:eastAsia="黑体" w:cs="楷体"/>
          <w:b w:val="0"/>
          <w:bCs w:val="0"/>
          <w:sz w:val="24"/>
          <w:szCs w:val="24"/>
          <w:lang w:val="en-US" w:eastAsia="zh-CN"/>
        </w:rPr>
      </w:pPr>
      <w:r>
        <w:drawing>
          <wp:inline distT="0" distB="0" distL="114300" distR="114300">
            <wp:extent cx="5728970" cy="3938270"/>
            <wp:effectExtent l="0" t="0" r="1270"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1"/>
                    <a:stretch>
                      <a:fillRect/>
                    </a:stretch>
                  </pic:blipFill>
                  <pic:spPr>
                    <a:xfrm>
                      <a:off x="0" y="0"/>
                      <a:ext cx="5728970" cy="3938270"/>
                    </a:xfrm>
                    <a:prstGeom prst="rect">
                      <a:avLst/>
                    </a:prstGeom>
                    <a:noFill/>
                    <a:ln>
                      <a:noFill/>
                    </a:ln>
                  </pic:spPr>
                </pic:pic>
              </a:graphicData>
            </a:graphic>
          </wp:inline>
        </w:drawing>
      </w:r>
    </w:p>
    <w:p>
      <w:pPr>
        <w:adjustRightIn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在2000年中国上证指数突破2200点之后，平均市盈率超过了60倍。随后进入了漫长的下跌。2007年上证指数再次飙升到6124点，</w:t>
      </w:r>
      <w:r>
        <w:rPr>
          <w:rFonts w:hint="eastAsia" w:ascii="楷体" w:hAnsi="楷体" w:eastAsia="楷体" w:cs="楷体"/>
          <w:sz w:val="24"/>
          <w:szCs w:val="24"/>
          <w:lang w:eastAsia="zh"/>
        </w:rPr>
        <w:t>彼</w:t>
      </w:r>
      <w:r>
        <w:rPr>
          <w:rFonts w:hint="eastAsia" w:ascii="楷体" w:hAnsi="楷体" w:eastAsia="楷体" w:cs="楷体"/>
          <w:sz w:val="24"/>
          <w:szCs w:val="24"/>
        </w:rPr>
        <w:t>时上证指数平均市盈率超60倍冲到70倍市盈率。随后则从6124点一口气下跌2/3，其下跌幅度之深，下跌时间之长史无前例，上证指数在17年之后的今天仍只</w:t>
      </w:r>
      <w:r>
        <w:rPr>
          <w:rFonts w:hint="eastAsia" w:ascii="楷体" w:hAnsi="楷体" w:eastAsia="楷体" w:cs="楷体"/>
          <w:sz w:val="24"/>
          <w:szCs w:val="24"/>
          <w:lang w:eastAsia="zh"/>
        </w:rPr>
        <w:t>有</w:t>
      </w:r>
      <w:r>
        <w:rPr>
          <w:rFonts w:hint="eastAsia" w:ascii="楷体" w:hAnsi="楷体" w:eastAsia="楷体" w:cs="楷体"/>
          <w:sz w:val="24"/>
          <w:szCs w:val="24"/>
        </w:rPr>
        <w:t>6124点的一半。</w:t>
      </w:r>
    </w:p>
    <w:p>
      <w:pPr>
        <w:adjustRightIn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过去30年，中国股市最惨烈的两次大熊市，都是因为市盈率估值水平大幅超越了常人所能理解的合理区间，将价值规律所允许的水平远抛在九霄云外，市场出现了严重的高估值、高泡沫，在价值规律作用下，通过长期的大幅下跌来释放泡沫，经历漫漫熊途纠正错误定价。理论和客观金融史的数据共同证明：</w:t>
      </w:r>
    </w:p>
    <w:p>
      <w:pPr>
        <w:adjustRightInd w:val="0"/>
        <w:spacing w:line="360" w:lineRule="auto"/>
        <w:ind w:firstLine="482" w:firstLineChars="200"/>
        <w:rPr>
          <w:rFonts w:ascii="楷体" w:hAnsi="楷体" w:eastAsia="楷体" w:cs="楷体"/>
          <w:sz w:val="24"/>
          <w:szCs w:val="24"/>
        </w:rPr>
      </w:pPr>
      <w:r>
        <w:rPr>
          <w:rFonts w:hint="eastAsia" w:ascii="楷体" w:hAnsi="楷体" w:eastAsia="楷体" w:cs="楷体"/>
          <w:b/>
          <w:bCs/>
          <w:sz w:val="24"/>
          <w:szCs w:val="24"/>
        </w:rPr>
        <w:t>现在</w:t>
      </w:r>
      <w:r>
        <w:rPr>
          <w:rFonts w:hint="eastAsia" w:ascii="楷体" w:hAnsi="楷体" w:eastAsia="楷体" w:cs="楷体"/>
          <w:b/>
          <w:bCs/>
          <w:sz w:val="24"/>
          <w:szCs w:val="24"/>
          <w:lang w:eastAsia="zh"/>
        </w:rPr>
        <w:t>，</w:t>
      </w:r>
      <w:r>
        <w:rPr>
          <w:rFonts w:hint="eastAsia" w:ascii="楷体" w:hAnsi="楷体" w:eastAsia="楷体" w:cs="楷体"/>
          <w:b/>
          <w:bCs/>
          <w:sz w:val="24"/>
          <w:szCs w:val="24"/>
        </w:rPr>
        <w:t>大家看到基金重仓股和游资为主的中证1000指数所存在的泡沫</w:t>
      </w:r>
      <w:r>
        <w:rPr>
          <w:rFonts w:hint="eastAsia" w:ascii="楷体" w:hAnsi="楷体" w:eastAsia="楷体" w:cs="楷体"/>
          <w:b/>
          <w:bCs/>
          <w:sz w:val="24"/>
          <w:szCs w:val="24"/>
          <w:lang w:eastAsia="zh"/>
        </w:rPr>
        <w:t>，</w:t>
      </w:r>
      <w:r>
        <w:rPr>
          <w:rFonts w:hint="eastAsia" w:ascii="楷体" w:hAnsi="楷体" w:eastAsia="楷体" w:cs="楷体"/>
          <w:b/>
          <w:bCs/>
          <w:sz w:val="24"/>
          <w:szCs w:val="24"/>
        </w:rPr>
        <w:t>比1929年美国股市崩塌前高了两倍多，比2000年网络股泡沫破裂前高了一倍，比2008金融危机泡沫破裂前也高了两倍多。比中国股市开张以来，两次最大的泡沫都要高！如此高的泡沫</w:t>
      </w:r>
      <w:r>
        <w:rPr>
          <w:rFonts w:hint="eastAsia" w:ascii="楷体" w:hAnsi="楷体" w:eastAsia="楷体" w:cs="楷体"/>
          <w:b/>
          <w:bCs/>
          <w:sz w:val="24"/>
          <w:szCs w:val="24"/>
          <w:lang w:eastAsia="zh"/>
        </w:rPr>
        <w:t>必然</w:t>
      </w:r>
      <w:r>
        <w:rPr>
          <w:rFonts w:hint="eastAsia" w:ascii="楷体" w:hAnsi="楷体" w:eastAsia="楷体" w:cs="楷体"/>
          <w:b/>
          <w:bCs/>
          <w:sz w:val="24"/>
          <w:szCs w:val="24"/>
        </w:rPr>
        <w:t>崩溃。任何一次股市大崩溃，根本原因是市场出现了严重的高估值、高泡沫，因为</w:t>
      </w:r>
      <w:r>
        <w:rPr>
          <w:rFonts w:hint="eastAsia" w:ascii="楷体" w:hAnsi="楷体" w:eastAsia="楷体" w:cs="楷体"/>
          <w:b/>
          <w:bCs/>
          <w:sz w:val="24"/>
          <w:szCs w:val="24"/>
          <w:lang w:eastAsia="zh"/>
        </w:rPr>
        <w:t>其</w:t>
      </w:r>
      <w:r>
        <w:rPr>
          <w:rFonts w:hint="eastAsia" w:ascii="楷体" w:hAnsi="楷体" w:eastAsia="楷体" w:cs="楷体"/>
          <w:b/>
          <w:bCs/>
          <w:sz w:val="24"/>
          <w:szCs w:val="24"/>
        </w:rPr>
        <w:t>违反、践踏了价值规律，所以在价值规律作用下不可避免必然破裂，大崩溃只是高估值泡沫化后必然破裂时的外在表现。只要出现严重的高估值和高泡沫，则必然出现大崩溃，反之出现大崩溃</w:t>
      </w:r>
      <w:r>
        <w:rPr>
          <w:rFonts w:hint="eastAsia" w:ascii="楷体" w:hAnsi="楷体" w:eastAsia="楷体" w:cs="楷体"/>
          <w:b/>
          <w:bCs/>
          <w:sz w:val="24"/>
          <w:szCs w:val="24"/>
          <w:lang w:eastAsia="zh"/>
        </w:rPr>
        <w:t>一定是</w:t>
      </w:r>
      <w:r>
        <w:rPr>
          <w:rFonts w:hint="eastAsia" w:ascii="楷体" w:hAnsi="楷体" w:eastAsia="楷体" w:cs="楷体"/>
          <w:b/>
          <w:bCs/>
          <w:sz w:val="24"/>
          <w:szCs w:val="24"/>
        </w:rPr>
        <w:t>因为出现了高估值、高泡沫导致的。</w:t>
      </w:r>
      <w:r>
        <w:rPr>
          <w:rFonts w:hint="eastAsia" w:ascii="楷体" w:hAnsi="楷体" w:eastAsia="楷体" w:cs="楷体"/>
          <w:sz w:val="24"/>
          <w:szCs w:val="24"/>
        </w:rPr>
        <w:t>大崩溃只是泡沫破裂的外在表现。大崩溃的内在原因是市场内部出现了严重的泡沫。</w:t>
      </w:r>
    </w:p>
    <w:p>
      <w:pPr>
        <w:adjustRightIn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下图是基金重仓指数从2018年到2024年初的价格走势图：</w:t>
      </w:r>
    </w:p>
    <w:p>
      <w:pPr>
        <w:keepNext w:val="0"/>
        <w:keepLines w:val="0"/>
        <w:pageBreakBefore w:val="0"/>
        <w:widowControl w:val="0"/>
        <w:kinsoku/>
        <w:wordWrap w:val="0"/>
        <w:overflowPunct/>
        <w:topLinePunct w:val="0"/>
        <w:autoSpaceDE/>
        <w:autoSpaceDN/>
        <w:bidi w:val="0"/>
        <w:adjustRightInd w:val="0"/>
        <w:snapToGrid w:val="0"/>
        <w:spacing w:after="0" w:line="240" w:lineRule="auto"/>
        <w:jc w:val="right"/>
        <w:textAlignment w:val="auto"/>
        <w:rPr>
          <w:rFonts w:hint="default" w:ascii="楷体" w:hAnsi="楷体" w:eastAsia="黑体" w:cs="楷体"/>
          <w:lang w:val="en-US" w:eastAsia="zh-CN"/>
        </w:rPr>
      </w:pPr>
      <w:r>
        <w:drawing>
          <wp:inline distT="0" distB="0" distL="114300" distR="114300">
            <wp:extent cx="5727065" cy="3639185"/>
            <wp:effectExtent l="0" t="0" r="3175" b="317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2"/>
                    <a:stretch>
                      <a:fillRect/>
                    </a:stretch>
                  </pic:blipFill>
                  <pic:spPr>
                    <a:xfrm>
                      <a:off x="0" y="0"/>
                      <a:ext cx="5727065" cy="3639185"/>
                    </a:xfrm>
                    <a:prstGeom prst="rect">
                      <a:avLst/>
                    </a:prstGeom>
                    <a:noFill/>
                    <a:ln>
                      <a:noFill/>
                    </a:ln>
                  </pic:spPr>
                </pic:pic>
              </a:graphicData>
            </a:graphic>
          </wp:inline>
        </w:drawing>
      </w:r>
    </w:p>
    <w:p>
      <w:pPr>
        <w:adjustRightIn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图中显示从 2018年到2021年初，两年多一点的时间里，公募基金重仓股指数整整上涨了两倍。</w:t>
      </w:r>
      <w:r>
        <w:rPr>
          <w:rFonts w:hint="eastAsia" w:ascii="楷体" w:hAnsi="楷体" w:eastAsia="楷体" w:cs="楷体"/>
          <w:b/>
          <w:bCs/>
          <w:sz w:val="24"/>
          <w:szCs w:val="24"/>
        </w:rPr>
        <w:t>中间2020年2月爆发新冠肺炎疫情有一个极短暂的回落之后，其他时间单边持续向上。</w:t>
      </w:r>
    </w:p>
    <w:p>
      <w:pPr>
        <w:adjustRightInd w:val="0"/>
        <w:spacing w:line="360" w:lineRule="auto"/>
        <w:ind w:firstLine="480" w:firstLineChars="200"/>
        <w:rPr>
          <w:rFonts w:ascii="楷体" w:hAnsi="楷体" w:eastAsia="楷体" w:cs="楷体"/>
        </w:rPr>
      </w:pPr>
      <w:r>
        <w:rPr>
          <w:rFonts w:hint="eastAsia" w:ascii="楷体" w:hAnsi="楷体" w:eastAsia="楷体" w:cs="楷体"/>
          <w:sz w:val="24"/>
          <w:szCs w:val="24"/>
        </w:rPr>
        <w:t>下</w:t>
      </w:r>
      <w:r>
        <w:rPr>
          <w:rFonts w:hint="eastAsia" w:ascii="楷体" w:hAnsi="楷体" w:eastAsia="楷体" w:cs="楷体"/>
          <w:sz w:val="24"/>
          <w:szCs w:val="24"/>
          <w:lang w:val="en-US" w:eastAsia="zh-CN"/>
        </w:rPr>
        <w:t>图</w:t>
      </w:r>
      <w:r>
        <w:rPr>
          <w:rFonts w:hint="eastAsia" w:ascii="楷体" w:hAnsi="楷体" w:eastAsia="楷体" w:cs="楷体"/>
          <w:sz w:val="24"/>
          <w:szCs w:val="24"/>
        </w:rPr>
        <w:t>是基金重仓指数从2018年到2024年初的市盈率走势图：</w:t>
      </w:r>
    </w:p>
    <w:p>
      <w:pPr>
        <w:pStyle w:val="6"/>
        <w:keepNext w:val="0"/>
        <w:keepLines w:val="0"/>
        <w:pageBreakBefore w:val="0"/>
        <w:widowControl/>
        <w:kinsoku/>
        <w:wordWrap/>
        <w:overflowPunct/>
        <w:topLinePunct w:val="0"/>
        <w:autoSpaceDE/>
        <w:autoSpaceDN/>
        <w:bidi w:val="0"/>
        <w:adjustRightInd/>
        <w:snapToGrid/>
        <w:spacing w:before="0" w:beforeLines="50"/>
        <w:textAlignment w:val="auto"/>
        <w:rPr>
          <w:rFonts w:hint="eastAsia"/>
          <w:lang w:val="en-US" w:eastAsia="zh-CN"/>
        </w:rPr>
      </w:pPr>
      <w:r>
        <w:drawing>
          <wp:inline distT="0" distB="0" distL="114300" distR="114300">
            <wp:extent cx="5728335" cy="3687445"/>
            <wp:effectExtent l="0" t="0" r="1905" b="63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43"/>
                    <a:stretch>
                      <a:fillRect/>
                    </a:stretch>
                  </pic:blipFill>
                  <pic:spPr>
                    <a:xfrm>
                      <a:off x="0" y="0"/>
                      <a:ext cx="5728335" cy="3687445"/>
                    </a:xfrm>
                    <a:prstGeom prst="rect">
                      <a:avLst/>
                    </a:prstGeom>
                    <a:noFill/>
                    <a:ln>
                      <a:noFill/>
                    </a:ln>
                  </pic:spPr>
                </pic:pic>
              </a:graphicData>
            </a:graphic>
          </wp:inline>
        </w:drawing>
      </w:r>
    </w:p>
    <w:p>
      <w:pPr>
        <w:adjustRightInd w:val="0"/>
        <w:spacing w:line="360" w:lineRule="auto"/>
        <w:ind w:firstLine="482" w:firstLineChars="200"/>
        <w:rPr>
          <w:rFonts w:ascii="楷体" w:hAnsi="楷体" w:eastAsia="楷体" w:cs="楷体"/>
          <w:sz w:val="24"/>
          <w:szCs w:val="24"/>
        </w:rPr>
      </w:pPr>
      <w:r>
        <w:rPr>
          <w:rFonts w:hint="eastAsia" w:ascii="楷体" w:hAnsi="楷体" w:eastAsia="楷体" w:cs="楷体"/>
          <w:b/>
          <w:bCs/>
          <w:sz w:val="24"/>
          <w:szCs w:val="24"/>
        </w:rPr>
        <w:t>我们可以看到从2018年底到2021年初，公募基金重仓股被公募基金从并不低估的20倍收益率推升到严重泡沫化的83倍市盈率，公募基金重仓股在单边上涨到崩溃之前越涨越快，公募基金完全无视估值越来越高所形成的风险越来越大。公募基金主要投资于传统产业。传统产业不支持</w:t>
      </w:r>
      <w:r>
        <w:rPr>
          <w:rFonts w:hint="eastAsia" w:ascii="楷体" w:hAnsi="楷体" w:eastAsia="楷体" w:cs="楷体"/>
          <w:b/>
          <w:bCs/>
          <w:sz w:val="24"/>
          <w:szCs w:val="24"/>
          <w:lang w:eastAsia="zh"/>
        </w:rPr>
        <w:t>超过30倍市盈率</w:t>
      </w:r>
      <w:r>
        <w:rPr>
          <w:rFonts w:hint="eastAsia" w:ascii="楷体" w:hAnsi="楷体" w:eastAsia="楷体" w:cs="楷体"/>
          <w:b/>
          <w:bCs/>
          <w:sz w:val="24"/>
          <w:szCs w:val="24"/>
        </w:rPr>
        <w:t>的估值，但是我们看到以传统产业为主的公募重仓股，市盈率突破30倍市盈率以后。以极快的速度突破了40倍市盈率、50倍市盈率、60倍市盈率、70倍市盈率、80倍市盈率。</w:t>
      </w:r>
    </w:p>
    <w:p>
      <w:pPr>
        <w:adjustRightInd w:val="0"/>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下面我们看一下这一轮中国股市的崩溃发生之前，中国股市的主要指数的市盈率。</w:t>
      </w:r>
    </w:p>
    <w:p>
      <w:pPr>
        <w:pStyle w:val="6"/>
        <w:keepNext w:val="0"/>
        <w:keepLines w:val="0"/>
        <w:pageBreakBefore w:val="0"/>
        <w:widowControl/>
        <w:kinsoku/>
        <w:wordWrap/>
        <w:overflowPunct/>
        <w:topLinePunct w:val="0"/>
        <w:autoSpaceDE/>
        <w:autoSpaceDN/>
        <w:bidi w:val="0"/>
        <w:adjustRightInd/>
        <w:snapToGrid/>
        <w:spacing w:before="0" w:beforeLines="50"/>
        <w:textAlignment w:val="auto"/>
        <w:rPr>
          <w:rFonts w:hint="eastAsia"/>
          <w:lang w:val="en-US" w:eastAsia="zh-CN"/>
        </w:rPr>
      </w:pPr>
      <w:r>
        <w:drawing>
          <wp:inline distT="0" distB="0" distL="114300" distR="114300">
            <wp:extent cx="5728970" cy="3205480"/>
            <wp:effectExtent l="0" t="0" r="1270" b="1016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44"/>
                    <a:stretch>
                      <a:fillRect/>
                    </a:stretch>
                  </pic:blipFill>
                  <pic:spPr>
                    <a:xfrm>
                      <a:off x="0" y="0"/>
                      <a:ext cx="5728970" cy="3205480"/>
                    </a:xfrm>
                    <a:prstGeom prst="rect">
                      <a:avLst/>
                    </a:prstGeom>
                    <a:noFill/>
                    <a:ln>
                      <a:noFill/>
                    </a:ln>
                  </pic:spPr>
                </pic:pic>
              </a:graphicData>
            </a:graphic>
          </wp:inline>
        </w:drawing>
      </w:r>
    </w:p>
    <w:p>
      <w:pPr>
        <w:adjustRightIn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上证指数和沪深300从2018年到2024年初的近6年时间里，绝大部分时间是在15倍市盈率之下运行。如果我们有兴趣可以把中国的核心指数沪深300和上证指数拿出来单独和世界主要经济体的股市市盈率进行对比，可以发现在过去的6年时间里中国股市是最低估值的。</w:t>
      </w:r>
    </w:p>
    <w:p>
      <w:pPr>
        <w:adjustRightInd w:val="0"/>
        <w:spacing w:line="360" w:lineRule="auto"/>
        <w:ind w:firstLine="482" w:firstLineChars="200"/>
        <w:rPr>
          <w:rFonts w:ascii="楷体" w:hAnsi="楷体" w:eastAsia="楷体" w:cs="楷体"/>
          <w:sz w:val="24"/>
          <w:szCs w:val="24"/>
        </w:rPr>
      </w:pPr>
      <w:r>
        <w:rPr>
          <w:rFonts w:hint="eastAsia" w:ascii="楷体" w:hAnsi="楷体" w:eastAsia="楷体" w:cs="楷体"/>
          <w:b/>
          <w:bCs/>
          <w:sz w:val="24"/>
          <w:szCs w:val="24"/>
        </w:rPr>
        <w:t>客观数据告诉我们，中国沪深300、上证指数这些核心指数不存在着高估值、高泡沫，从而不存在着单边下跌全面崩溃的内在原因。</w:t>
      </w:r>
      <w:r>
        <w:rPr>
          <w:rFonts w:hint="eastAsia" w:ascii="楷体" w:hAnsi="楷体" w:eastAsia="楷体" w:cs="楷体"/>
          <w:sz w:val="24"/>
          <w:szCs w:val="24"/>
        </w:rPr>
        <w:t>但中国股市却真实</w:t>
      </w:r>
      <w:r>
        <w:rPr>
          <w:rFonts w:hint="eastAsia" w:ascii="楷体" w:hAnsi="楷体" w:eastAsia="楷体" w:cs="楷体"/>
          <w:sz w:val="24"/>
          <w:szCs w:val="24"/>
          <w:lang w:eastAsia="zh"/>
        </w:rPr>
        <w:t>地</w:t>
      </w:r>
      <w:r>
        <w:rPr>
          <w:rFonts w:hint="eastAsia" w:ascii="楷体" w:hAnsi="楷体" w:eastAsia="楷体" w:cs="楷体"/>
          <w:sz w:val="24"/>
          <w:szCs w:val="24"/>
        </w:rPr>
        <w:t>从2023年到2024年1月的时间段里单边下跌，并在最后发生严重的崩溃。难道我们总结金融史得出的股市崩溃终极</w:t>
      </w:r>
      <w:r>
        <w:rPr>
          <w:rFonts w:hint="eastAsia" w:ascii="楷体" w:hAnsi="楷体" w:eastAsia="楷体" w:cs="楷体"/>
          <w:sz w:val="24"/>
          <w:szCs w:val="24"/>
          <w:lang w:eastAsia="zh"/>
        </w:rPr>
        <w:t>原因是</w:t>
      </w:r>
      <w:r>
        <w:rPr>
          <w:rFonts w:hint="eastAsia" w:ascii="楷体" w:hAnsi="楷体" w:eastAsia="楷体" w:cs="楷体"/>
          <w:sz w:val="24"/>
          <w:szCs w:val="24"/>
        </w:rPr>
        <w:t>高估值高泡沫导致的规律是错的吗？！</w:t>
      </w:r>
    </w:p>
    <w:p>
      <w:pPr>
        <w:adjustRightInd w:val="0"/>
        <w:spacing w:line="360" w:lineRule="auto"/>
        <w:ind w:firstLine="482" w:firstLineChars="200"/>
        <w:rPr>
          <w:rFonts w:ascii="楷体" w:hAnsi="楷体" w:eastAsia="楷体" w:cs="楷体"/>
          <w:sz w:val="24"/>
          <w:szCs w:val="24"/>
        </w:rPr>
      </w:pPr>
      <w:r>
        <w:rPr>
          <w:rFonts w:hint="eastAsia" w:ascii="楷体" w:hAnsi="楷体" w:eastAsia="楷体" w:cs="楷体"/>
          <w:b/>
          <w:bCs/>
          <w:sz w:val="24"/>
          <w:szCs w:val="24"/>
        </w:rPr>
        <w:t>高估的只是基金重仓板块和中小盘指数，为什么局部的基金重仓板块和中小盘板块大幅下跌就导致了本来不高估的整个市场都全面崩塌？</w:t>
      </w:r>
      <w:r>
        <w:rPr>
          <w:rFonts w:hint="eastAsia" w:ascii="楷体" w:hAnsi="楷体" w:eastAsia="楷体" w:cs="楷体"/>
          <w:sz w:val="24"/>
          <w:szCs w:val="24"/>
        </w:rPr>
        <w:t>答案在于中国资本市场出现了一基独大，出现了对定价权的垄断，下表是我们对资本市场上各类资金规模的量化统计。</w:t>
      </w:r>
    </w:p>
    <w:p>
      <w:pPr>
        <w:pStyle w:val="6"/>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lang w:val="en-US" w:eastAsia="zh-CN"/>
        </w:rPr>
      </w:pPr>
      <w:r>
        <w:drawing>
          <wp:inline distT="0" distB="0" distL="114300" distR="114300">
            <wp:extent cx="5723255" cy="1280160"/>
            <wp:effectExtent l="0" t="0" r="6985" b="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45"/>
                    <a:stretch>
                      <a:fillRect/>
                    </a:stretch>
                  </pic:blipFill>
                  <pic:spPr>
                    <a:xfrm>
                      <a:off x="0" y="0"/>
                      <a:ext cx="5723255" cy="12801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楷体" w:hAnsi="楷体" w:eastAsia="楷体" w:cs="楷体"/>
          <w:sz w:val="24"/>
          <w:szCs w:val="24"/>
        </w:rPr>
      </w:pPr>
      <w:r>
        <w:rPr>
          <w:rFonts w:hint="eastAsia" w:ascii="楷体" w:hAnsi="楷体" w:eastAsia="楷体" w:cs="楷体"/>
          <w:sz w:val="24"/>
          <w:szCs w:val="24"/>
        </w:rPr>
        <w:t>可以看到公募基金在规模体量上占到了社会实际流通市值的1/3左右，所谓实际流通是指虽然</w:t>
      </w:r>
      <w:r>
        <w:rPr>
          <w:rFonts w:hint="eastAsia" w:ascii="楷体" w:hAnsi="楷体" w:eastAsia="楷体" w:cs="楷体"/>
          <w:sz w:val="24"/>
          <w:szCs w:val="24"/>
          <w:lang w:eastAsia="zh"/>
        </w:rPr>
        <w:t>A股</w:t>
      </w:r>
      <w:r>
        <w:rPr>
          <w:rFonts w:hint="eastAsia" w:ascii="楷体" w:hAnsi="楷体" w:eastAsia="楷体" w:cs="楷体"/>
          <w:sz w:val="24"/>
          <w:szCs w:val="24"/>
        </w:rPr>
        <w:t>股票是全流通的，但绝大部分控股股东不参与交易，排除了大股东后市场中的实际流通市值。在实际流通市值中，公募基金鹤立鸡群占到30%，其他资金主体无法和公募基金抗衡。公募基金拥有最大的流通市值定价权。目前公募基金公司合计不超过150家，也就是说相当于市场实际流通市值1/3的资金掌握在150家公司手里。而且在公募基金公司中150家并不是平均掌控着资金，这些资金主要集中在10多家头部基金公司手里，从而形成巨量资金集中使用。根据中国基金业协会提供的数据。</w:t>
      </w:r>
      <w:r>
        <w:rPr>
          <w:rFonts w:hint="eastAsia" w:ascii="楷体" w:hAnsi="楷体" w:eastAsia="楷体" w:cs="楷体"/>
          <w:color w:val="595959" w:themeColor="text1" w:themeTint="A6"/>
          <w:sz w:val="24"/>
          <w:szCs w:val="24"/>
          <w14:textFill>
            <w14:solidFill>
              <w14:schemeClr w14:val="tx1">
                <w14:lumMod w14:val="65000"/>
                <w14:lumOff w14:val="35000"/>
              </w14:schemeClr>
            </w14:solidFill>
          </w14:textFill>
        </w:rPr>
        <w:t>截至2024年2月末，</w:t>
      </w:r>
      <w:r>
        <w:rPr>
          <w:rFonts w:hint="eastAsia" w:ascii="楷体" w:hAnsi="楷体" w:eastAsia="楷体" w:cs="楷体"/>
          <w:sz w:val="24"/>
          <w:szCs w:val="24"/>
        </w:rPr>
        <w:t>私募证券（股票）投资基金管理人8,351家；存续私募证券投资基金97,305只，存续规模5.51万亿元。中国股市没有出现一个私募基金重仓股的板块和指数，</w:t>
      </w:r>
      <w:r>
        <w:rPr>
          <w:rFonts w:hint="eastAsia" w:ascii="楷体" w:hAnsi="楷体" w:eastAsia="楷体" w:cs="楷体"/>
          <w:sz w:val="24"/>
          <w:szCs w:val="24"/>
          <w:lang w:eastAsia="zh"/>
        </w:rPr>
        <w:t>我</w:t>
      </w:r>
      <w:r>
        <w:rPr>
          <w:rFonts w:hint="eastAsia" w:ascii="楷体" w:hAnsi="楷体" w:eastAsia="楷体" w:cs="楷体"/>
          <w:sz w:val="24"/>
          <w:szCs w:val="24"/>
        </w:rPr>
        <w:t>们也不知道私募基金最终整体对哪个板块有更强烈的影响力，从而形成私募基金指数。这虽然与公募基金要定期发布持股报告，</w:t>
      </w:r>
      <w:r>
        <w:rPr>
          <w:rFonts w:hint="eastAsia" w:ascii="楷体" w:hAnsi="楷体" w:eastAsia="楷体" w:cs="楷体"/>
          <w:sz w:val="24"/>
          <w:szCs w:val="24"/>
          <w:lang w:eastAsia="zh"/>
        </w:rPr>
        <w:t>而</w:t>
      </w:r>
      <w:r>
        <w:rPr>
          <w:rFonts w:hint="eastAsia" w:ascii="楷体" w:hAnsi="楷体" w:eastAsia="楷体" w:cs="楷体"/>
          <w:sz w:val="24"/>
          <w:szCs w:val="24"/>
        </w:rPr>
        <w:t>私募基金不发布定期持股报告有关系，但是公募基金的资金集中投向特定板块是普遍的事实。</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楷体" w:hAnsi="楷体" w:eastAsia="楷体" w:cs="楷体"/>
          <w:sz w:val="24"/>
          <w:szCs w:val="24"/>
        </w:rPr>
      </w:pPr>
      <w:r>
        <w:rPr>
          <w:rFonts w:hint="eastAsia" w:ascii="楷体" w:hAnsi="楷体" w:eastAsia="楷体" w:cs="楷体"/>
          <w:sz w:val="24"/>
          <w:szCs w:val="24"/>
        </w:rPr>
        <w:t>公募基金主要掌握在十几家大型公募基金公司手里：</w:t>
      </w:r>
    </w:p>
    <w:p>
      <w:pPr>
        <w:adjustRightInd w:val="0"/>
        <w:spacing w:line="360" w:lineRule="auto"/>
        <w:ind w:firstLine="440" w:firstLineChars="200"/>
        <w:rPr>
          <w:rFonts w:ascii="楷体" w:hAnsi="楷体" w:eastAsia="楷体" w:cs="楷体"/>
          <w:sz w:val="24"/>
          <w:szCs w:val="24"/>
        </w:rPr>
      </w:pPr>
      <w:r>
        <w:drawing>
          <wp:inline distT="0" distB="0" distL="114300" distR="114300">
            <wp:extent cx="5724525" cy="3025775"/>
            <wp:effectExtent l="0" t="0" r="5715" b="6985"/>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46"/>
                    <a:stretch>
                      <a:fillRect/>
                    </a:stretch>
                  </pic:blipFill>
                  <pic:spPr>
                    <a:xfrm>
                      <a:off x="0" y="0"/>
                      <a:ext cx="5724525" cy="3025775"/>
                    </a:xfrm>
                    <a:prstGeom prst="rect">
                      <a:avLst/>
                    </a:prstGeom>
                    <a:noFill/>
                    <a:ln>
                      <a:noFill/>
                    </a:ln>
                  </pic:spPr>
                </pic:pic>
              </a:graphicData>
            </a:graphic>
          </wp:inline>
        </w:drawing>
      </w:r>
      <w:r>
        <w:rPr>
          <w:rFonts w:hint="eastAsia" w:ascii="楷体" w:hAnsi="楷体" w:eastAsia="楷体" w:cs="楷体"/>
          <w:sz w:val="24"/>
          <w:szCs w:val="24"/>
        </w:rPr>
        <w:t>公募基金将巨量资金集中投放于少数的几个特定板块，在这些板块之外，公募基金投入极为有限，公募基金对市场中最低估值的金融类企业的投入，与金融类企业占全部市场市值比例相比，由于公募基金本身资金规模大，且集中投向特定的行业，从而形成了强有力的定价权优势。</w:t>
      </w:r>
    </w:p>
    <w:p>
      <w:pPr>
        <w:adjustRightInd w:val="0"/>
        <w:spacing w:line="360" w:lineRule="auto"/>
        <w:ind w:firstLine="482" w:firstLineChars="200"/>
        <w:rPr>
          <w:rFonts w:ascii="楷体" w:hAnsi="楷体" w:eastAsia="楷体" w:cs="楷体"/>
          <w:b/>
          <w:bCs/>
          <w:sz w:val="24"/>
          <w:szCs w:val="24"/>
        </w:rPr>
      </w:pPr>
      <w:r>
        <w:rPr>
          <w:rFonts w:hint="eastAsia" w:ascii="楷体" w:hAnsi="楷体" w:eastAsia="楷体" w:cs="楷体"/>
          <w:b/>
          <w:bCs/>
          <w:sz w:val="24"/>
          <w:szCs w:val="24"/>
        </w:rPr>
        <w:t>资产管理人</w:t>
      </w:r>
      <w:r>
        <w:rPr>
          <w:rFonts w:hint="eastAsia" w:ascii="楷体" w:hAnsi="楷体" w:eastAsia="楷体" w:cs="楷体"/>
          <w:b/>
          <w:bCs/>
          <w:sz w:val="24"/>
          <w:szCs w:val="24"/>
          <w:lang w:eastAsia="zh"/>
        </w:rPr>
        <w:t>的</w:t>
      </w:r>
      <w:r>
        <w:rPr>
          <w:rFonts w:hint="eastAsia" w:ascii="楷体" w:hAnsi="楷体" w:eastAsia="楷体" w:cs="楷体"/>
          <w:b/>
          <w:bCs/>
          <w:sz w:val="24"/>
          <w:szCs w:val="24"/>
        </w:rPr>
        <w:t>第一工作职责就是防控风险，在防控风险的前提下实现理性获利。无论风险防控，无论理性获利，根本方法是基于估值高低做逆向投资，在估值低的时候加大买入，在估值高的时候减少持有，顺应价值规律来实现规避风险，实现盈利。但是我们看</w:t>
      </w:r>
      <w:r>
        <w:rPr>
          <w:rFonts w:hint="eastAsia" w:ascii="楷体" w:hAnsi="楷体" w:eastAsia="楷体" w:cs="楷体"/>
          <w:b/>
          <w:bCs/>
          <w:sz w:val="24"/>
          <w:szCs w:val="24"/>
          <w:lang w:eastAsia="zh"/>
        </w:rPr>
        <w:t>到</w:t>
      </w:r>
      <w:r>
        <w:rPr>
          <w:rFonts w:hint="eastAsia" w:ascii="楷体" w:hAnsi="楷体" w:eastAsia="楷体" w:cs="楷体"/>
          <w:b/>
          <w:bCs/>
          <w:sz w:val="24"/>
          <w:szCs w:val="24"/>
        </w:rPr>
        <w:t>公募基金是无论估值有多高，泡沫有多严重，一直不断</w:t>
      </w:r>
      <w:r>
        <w:rPr>
          <w:rFonts w:hint="eastAsia" w:ascii="楷体" w:hAnsi="楷体" w:eastAsia="楷体" w:cs="楷体"/>
          <w:b/>
          <w:bCs/>
          <w:sz w:val="24"/>
          <w:szCs w:val="24"/>
          <w:lang w:eastAsia="zh"/>
        </w:rPr>
        <w:t>地</w:t>
      </w:r>
      <w:r>
        <w:rPr>
          <w:rFonts w:hint="eastAsia" w:ascii="楷体" w:hAnsi="楷体" w:eastAsia="楷体" w:cs="楷体"/>
          <w:b/>
          <w:bCs/>
          <w:sz w:val="24"/>
          <w:szCs w:val="24"/>
        </w:rPr>
        <w:t>用社会大众交给他们的钱推动自己重仓股的上涨，直到无力再推升之后形成崩溃。这其实就是2021年之后公募基金的出资人遭受几万亿损失的根本原因。</w:t>
      </w:r>
    </w:p>
    <w:p>
      <w:pPr>
        <w:pStyle w:val="6"/>
        <w:adjustRightInd w:val="0"/>
        <w:spacing w:line="360" w:lineRule="auto"/>
        <w:ind w:firstLine="400" w:firstLineChars="200"/>
        <w:rPr>
          <w:rFonts w:ascii="楷体" w:hAnsi="楷体" w:eastAsia="楷体" w:cs="楷体"/>
        </w:rPr>
      </w:pPr>
      <w:r>
        <w:drawing>
          <wp:inline distT="0" distB="0" distL="114300" distR="114300">
            <wp:extent cx="5723255" cy="1291590"/>
            <wp:effectExtent l="0" t="0" r="6985" b="3810"/>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47"/>
                    <a:stretch>
                      <a:fillRect/>
                    </a:stretch>
                  </pic:blipFill>
                  <pic:spPr>
                    <a:xfrm>
                      <a:off x="0" y="0"/>
                      <a:ext cx="5723255" cy="1291590"/>
                    </a:xfrm>
                    <a:prstGeom prst="rect">
                      <a:avLst/>
                    </a:prstGeom>
                    <a:noFill/>
                    <a:ln>
                      <a:noFill/>
                    </a:ln>
                  </pic:spPr>
                </pic:pic>
              </a:graphicData>
            </a:graphic>
          </wp:inline>
        </w:drawing>
      </w:r>
      <w:r>
        <w:rPr>
          <w:rFonts w:hint="eastAsia" w:ascii="楷体" w:hAnsi="楷体" w:eastAsia="楷体" w:cs="楷体"/>
          <w:b/>
          <w:bCs/>
          <w:sz w:val="24"/>
          <w:szCs w:val="24"/>
        </w:rPr>
        <w:t>公募基金公司、公募基金经理没有风险规避的想法和行为。他们在高估值已经史无前例的情况下，仍旧不主动</w:t>
      </w:r>
      <w:r>
        <w:rPr>
          <w:rFonts w:hint="eastAsia" w:ascii="楷体" w:hAnsi="楷体" w:eastAsia="楷体" w:cs="楷体"/>
          <w:b/>
          <w:bCs/>
          <w:sz w:val="24"/>
          <w:szCs w:val="24"/>
          <w:lang w:eastAsia="zh"/>
        </w:rPr>
        <w:t>地</w:t>
      </w:r>
      <w:r>
        <w:rPr>
          <w:rFonts w:hint="eastAsia" w:ascii="楷体" w:hAnsi="楷体" w:eastAsia="楷体" w:cs="楷体"/>
          <w:b/>
          <w:bCs/>
          <w:sz w:val="24"/>
          <w:szCs w:val="24"/>
        </w:rPr>
        <w:t>转向，不主动</w:t>
      </w:r>
      <w:r>
        <w:rPr>
          <w:rFonts w:hint="eastAsia" w:ascii="楷体" w:hAnsi="楷体" w:eastAsia="楷体" w:cs="楷体"/>
          <w:b/>
          <w:bCs/>
          <w:sz w:val="24"/>
          <w:szCs w:val="24"/>
          <w:lang w:eastAsia="zh"/>
        </w:rPr>
        <w:t>地</w:t>
      </w:r>
      <w:r>
        <w:rPr>
          <w:rFonts w:hint="eastAsia" w:ascii="楷体" w:hAnsi="楷体" w:eastAsia="楷体" w:cs="楷体"/>
          <w:b/>
          <w:bCs/>
          <w:sz w:val="24"/>
          <w:szCs w:val="24"/>
        </w:rPr>
        <w:t>远离高估值，他们放任高估值、高泡沫。完全丧失了任何专业性</w:t>
      </w:r>
      <w:r>
        <w:rPr>
          <w:rFonts w:hint="eastAsia" w:ascii="楷体" w:hAnsi="楷体" w:eastAsia="楷体" w:cs="楷体"/>
          <w:b/>
          <w:bCs/>
          <w:sz w:val="24"/>
          <w:szCs w:val="24"/>
          <w:lang w:eastAsia="zh"/>
        </w:rPr>
        <w:t>和</w:t>
      </w:r>
      <w:r>
        <w:rPr>
          <w:rFonts w:hint="eastAsia" w:ascii="楷体" w:hAnsi="楷体" w:eastAsia="楷体" w:cs="楷体"/>
          <w:b/>
          <w:bCs/>
          <w:sz w:val="24"/>
          <w:szCs w:val="24"/>
        </w:rPr>
        <w:t>责任感，完全</w:t>
      </w:r>
      <w:r>
        <w:rPr>
          <w:rFonts w:hint="eastAsia" w:ascii="楷体" w:hAnsi="楷体" w:eastAsia="楷体" w:cs="楷体"/>
          <w:b/>
          <w:bCs/>
          <w:sz w:val="24"/>
          <w:szCs w:val="24"/>
          <w:lang w:eastAsia="zh"/>
        </w:rPr>
        <w:t>置</w:t>
      </w:r>
      <w:r>
        <w:rPr>
          <w:rFonts w:hint="eastAsia" w:ascii="楷体" w:hAnsi="楷体" w:eastAsia="楷体" w:cs="楷体"/>
          <w:b/>
          <w:bCs/>
          <w:sz w:val="24"/>
          <w:szCs w:val="24"/>
        </w:rPr>
        <w:t>基金客户的资产安全于不顾！把基金客户的资产投入严重的风险之中，而不加任何规避。</w:t>
      </w:r>
    </w:p>
    <w:p>
      <w:pPr>
        <w:adjustRightInd w:val="0"/>
        <w:spacing w:line="360" w:lineRule="auto"/>
        <w:jc w:val="both"/>
        <w:rPr>
          <w:rFonts w:ascii="楷体" w:hAnsi="楷体" w:eastAsia="楷体" w:cs="楷体"/>
          <w:b/>
          <w:bCs/>
        </w:rPr>
      </w:pPr>
      <w:r>
        <w:drawing>
          <wp:inline distT="0" distB="0" distL="114300" distR="114300">
            <wp:extent cx="5722620" cy="3604260"/>
            <wp:effectExtent l="0" t="0" r="7620" b="7620"/>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48"/>
                    <a:stretch>
                      <a:fillRect/>
                    </a:stretch>
                  </pic:blipFill>
                  <pic:spPr>
                    <a:xfrm>
                      <a:off x="0" y="0"/>
                      <a:ext cx="5722620" cy="3604260"/>
                    </a:xfrm>
                    <a:prstGeom prst="rect">
                      <a:avLst/>
                    </a:prstGeom>
                    <a:noFill/>
                    <a:ln>
                      <a:noFill/>
                    </a:ln>
                  </pic:spPr>
                </pic:pic>
              </a:graphicData>
            </a:graphic>
          </wp:inline>
        </w:drawing>
      </w:r>
    </w:p>
    <w:p>
      <w:pPr>
        <w:adjustRightInd w:val="0"/>
        <w:spacing w:line="360" w:lineRule="auto"/>
        <w:ind w:firstLine="482" w:firstLineChars="200"/>
        <w:jc w:val="both"/>
        <w:rPr>
          <w:rFonts w:ascii="楷体" w:hAnsi="楷体" w:eastAsia="楷体" w:cs="楷体"/>
          <w:b/>
          <w:bCs/>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图中清晰</w:t>
      </w:r>
      <w:r>
        <w:rPr>
          <w:rFonts w:hint="eastAsia" w:ascii="楷体" w:hAnsi="楷体" w:eastAsia="楷体" w:cs="楷体"/>
          <w:b/>
          <w:bCs/>
          <w:color w:val="000000" w:themeColor="text1"/>
          <w:sz w:val="24"/>
          <w:szCs w:val="24"/>
          <w:lang w:eastAsia="zh"/>
          <w14:textFill>
            <w14:solidFill>
              <w14:schemeClr w14:val="tx1"/>
            </w14:solidFill>
          </w14:textFill>
        </w:rPr>
        <w:t>地</w:t>
      </w:r>
      <w:r>
        <w:rPr>
          <w:rFonts w:hint="eastAsia" w:ascii="楷体" w:hAnsi="楷体" w:eastAsia="楷体" w:cs="楷体"/>
          <w:b/>
          <w:bCs/>
          <w:color w:val="000000" w:themeColor="text1"/>
          <w:sz w:val="24"/>
          <w:szCs w:val="24"/>
          <w14:textFill>
            <w14:solidFill>
              <w14:schemeClr w14:val="tx1"/>
            </w14:solidFill>
          </w14:textFill>
        </w:rPr>
        <w:t>看到2003年</w:t>
      </w:r>
      <w:r>
        <w:rPr>
          <w:rFonts w:hint="eastAsia" w:ascii="楷体" w:hAnsi="楷体" w:eastAsia="楷体" w:cs="楷体"/>
          <w:b/>
          <w:bCs/>
          <w:color w:val="000000" w:themeColor="text1"/>
          <w:sz w:val="24"/>
          <w:szCs w:val="24"/>
          <w:lang w:eastAsia="zh"/>
          <w14:textFill>
            <w14:solidFill>
              <w14:schemeClr w14:val="tx1"/>
            </w14:solidFill>
          </w14:textFill>
        </w:rPr>
        <w:t>—</w:t>
      </w:r>
      <w:r>
        <w:rPr>
          <w:rFonts w:hint="eastAsia" w:ascii="楷体" w:hAnsi="楷体" w:eastAsia="楷体" w:cs="楷体"/>
          <w:b/>
          <w:bCs/>
          <w:color w:val="000000" w:themeColor="text1"/>
          <w:sz w:val="24"/>
          <w:szCs w:val="24"/>
          <w14:textFill>
            <w14:solidFill>
              <w14:schemeClr w14:val="tx1"/>
            </w14:solidFill>
          </w14:textFill>
        </w:rPr>
        <w:t>2013年上证指数一直挣扎在3000点附近，但是公募基金的规模却一路长阳，不断</w:t>
      </w:r>
      <w:r>
        <w:rPr>
          <w:rFonts w:hint="eastAsia" w:ascii="楷体" w:hAnsi="楷体" w:eastAsia="楷体" w:cs="楷体"/>
          <w:b/>
          <w:bCs/>
          <w:color w:val="000000" w:themeColor="text1"/>
          <w:sz w:val="24"/>
          <w:szCs w:val="24"/>
          <w:lang w:eastAsia="zh"/>
          <w14:textFill>
            <w14:solidFill>
              <w14:schemeClr w14:val="tx1"/>
            </w14:solidFill>
          </w14:textFill>
        </w:rPr>
        <w:t>地</w:t>
      </w:r>
      <w:r>
        <w:rPr>
          <w:rFonts w:hint="eastAsia" w:ascii="楷体" w:hAnsi="楷体" w:eastAsia="楷体" w:cs="楷体"/>
          <w:b/>
          <w:bCs/>
          <w:color w:val="000000" w:themeColor="text1"/>
          <w:sz w:val="24"/>
          <w:szCs w:val="24"/>
          <w14:textFill>
            <w14:solidFill>
              <w14:schemeClr w14:val="tx1"/>
            </w14:solidFill>
          </w14:textFill>
        </w:rPr>
        <w:t>壮大。公募基金规模壮大总是发生在指数发生疯牛的阶段，过去几十年牛短熊长一直困扰着中国股市。股市</w:t>
      </w:r>
      <w:r>
        <w:rPr>
          <w:rFonts w:hint="eastAsia" w:ascii="楷体" w:hAnsi="楷体" w:eastAsia="楷体" w:cs="楷体"/>
          <w:b/>
          <w:bCs/>
          <w:color w:val="000000" w:themeColor="text1"/>
          <w:sz w:val="24"/>
          <w:szCs w:val="24"/>
          <w:lang w:eastAsia="zh"/>
          <w14:textFill>
            <w14:solidFill>
              <w14:schemeClr w14:val="tx1"/>
            </w14:solidFill>
          </w14:textFill>
        </w:rPr>
        <w:t>在</w:t>
      </w:r>
      <w:r>
        <w:rPr>
          <w:rFonts w:hint="eastAsia" w:ascii="楷体" w:hAnsi="楷体" w:eastAsia="楷体" w:cs="楷体"/>
          <w:b/>
          <w:bCs/>
          <w:color w:val="000000" w:themeColor="text1"/>
          <w:sz w:val="24"/>
          <w:szCs w:val="24"/>
          <w14:textFill>
            <w14:solidFill>
              <w14:schemeClr w14:val="tx1"/>
            </w14:solidFill>
          </w14:textFill>
        </w:rPr>
        <w:t>越来越严重</w:t>
      </w:r>
      <w:r>
        <w:rPr>
          <w:rFonts w:hint="eastAsia" w:ascii="楷体" w:hAnsi="楷体" w:eastAsia="楷体" w:cs="楷体"/>
          <w:b/>
          <w:bCs/>
          <w:color w:val="000000" w:themeColor="text1"/>
          <w:sz w:val="24"/>
          <w:szCs w:val="24"/>
          <w:lang w:eastAsia="zh"/>
          <w14:textFill>
            <w14:solidFill>
              <w14:schemeClr w14:val="tx1"/>
            </w14:solidFill>
          </w14:textFill>
        </w:rPr>
        <w:t>急速</w:t>
      </w:r>
      <w:r>
        <w:rPr>
          <w:rFonts w:hint="eastAsia" w:ascii="楷体" w:hAnsi="楷体" w:eastAsia="楷体" w:cs="楷体"/>
          <w:b/>
          <w:bCs/>
          <w:color w:val="000000" w:themeColor="text1"/>
          <w:sz w:val="24"/>
          <w:szCs w:val="24"/>
          <w14:textFill>
            <w14:solidFill>
              <w14:schemeClr w14:val="tx1"/>
            </w14:solidFill>
          </w14:textFill>
        </w:rPr>
        <w:t>暴涨的短期疯牛之后，就会陷入漫长熊市，在这种市况下投资者整体无法获利，市场也越来越不稳定。但是权益类基金总是能够在短期极速疯牛中成功</w:t>
      </w:r>
      <w:r>
        <w:rPr>
          <w:rFonts w:hint="eastAsia" w:ascii="楷体" w:hAnsi="楷体" w:eastAsia="楷体" w:cs="楷体"/>
          <w:b/>
          <w:bCs/>
          <w:color w:val="000000" w:themeColor="text1"/>
          <w:sz w:val="24"/>
          <w:szCs w:val="24"/>
          <w:lang w:eastAsia="zh"/>
          <w14:textFill>
            <w14:solidFill>
              <w14:schemeClr w14:val="tx1"/>
            </w14:solidFill>
          </w14:textFill>
        </w:rPr>
        <w:t>地</w:t>
      </w:r>
      <w:r>
        <w:rPr>
          <w:rFonts w:hint="eastAsia" w:ascii="楷体" w:hAnsi="楷体" w:eastAsia="楷体" w:cs="楷体"/>
          <w:b/>
          <w:bCs/>
          <w:color w:val="000000" w:themeColor="text1"/>
          <w:sz w:val="24"/>
          <w:szCs w:val="24"/>
          <w14:textFill>
            <w14:solidFill>
              <w14:schemeClr w14:val="tx1"/>
            </w14:solidFill>
          </w14:textFill>
        </w:rPr>
        <w:t>壮大自己。公募基金是中国股市严重不健康走势的受益人。</w:t>
      </w:r>
    </w:p>
    <w:p>
      <w:pPr>
        <w:adjustRightInd w:val="0"/>
        <w:spacing w:line="360" w:lineRule="auto"/>
        <w:ind w:firstLine="482" w:firstLineChars="200"/>
        <w:jc w:val="both"/>
        <w:rPr>
          <w:rFonts w:ascii="楷体" w:hAnsi="楷体" w:eastAsia="楷体" w:cs="楷体"/>
          <w:b/>
          <w:bCs/>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需要引起中国资本市场全部参与者</w:t>
      </w:r>
      <w:r>
        <w:rPr>
          <w:rFonts w:hint="eastAsia" w:ascii="楷体" w:hAnsi="楷体" w:eastAsia="楷体" w:cs="楷体"/>
          <w:b/>
          <w:bCs/>
          <w:color w:val="000000" w:themeColor="text1"/>
          <w:sz w:val="24"/>
          <w:szCs w:val="24"/>
          <w:lang w:eastAsia="zh"/>
          <w14:textFill>
            <w14:solidFill>
              <w14:schemeClr w14:val="tx1"/>
            </w14:solidFill>
          </w14:textFill>
        </w:rPr>
        <w:t>、</w:t>
      </w:r>
      <w:r>
        <w:rPr>
          <w:rFonts w:hint="eastAsia" w:ascii="楷体" w:hAnsi="楷体" w:eastAsia="楷体" w:cs="楷体"/>
          <w:b/>
          <w:bCs/>
          <w:color w:val="000000" w:themeColor="text1"/>
          <w:sz w:val="24"/>
          <w:szCs w:val="24"/>
          <w14:textFill>
            <w14:solidFill>
              <w14:schemeClr w14:val="tx1"/>
            </w14:solidFill>
          </w14:textFill>
        </w:rPr>
        <w:t>监管者乃至需要引起中国全社会和中央最高决策层高度重视的两个事实：</w:t>
      </w:r>
    </w:p>
    <w:p>
      <w:pPr>
        <w:numPr>
          <w:ilvl w:val="0"/>
          <w:numId w:val="3"/>
        </w:numPr>
        <w:adjustRightInd w:val="0"/>
        <w:spacing w:line="360" w:lineRule="auto"/>
        <w:ind w:firstLine="482" w:firstLineChars="200"/>
        <w:jc w:val="both"/>
        <w:rPr>
          <w:rFonts w:ascii="楷体" w:hAnsi="楷体" w:eastAsia="楷体" w:cs="楷体"/>
          <w:b/>
          <w:bCs/>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在公募基金行业出现了做大，获取行业头部地位的方法不是创造基金出资人的利益增长，而是让出资人利益损失越大公募基金的规模也越大，公募基金管理公司的收入和利益也越大。换句话说</w:t>
      </w:r>
      <w:r>
        <w:rPr>
          <w:rFonts w:hint="eastAsia" w:ascii="楷体" w:hAnsi="楷体" w:eastAsia="楷体" w:cs="楷体"/>
          <w:b/>
          <w:bCs/>
          <w:color w:val="000000" w:themeColor="text1"/>
          <w:sz w:val="24"/>
          <w:szCs w:val="24"/>
          <w:lang w:eastAsia="zh"/>
          <w14:textFill>
            <w14:solidFill>
              <w14:schemeClr w14:val="tx1"/>
            </w14:solidFill>
          </w14:textFill>
        </w:rPr>
        <w:t>，</w:t>
      </w:r>
      <w:r>
        <w:rPr>
          <w:rFonts w:hint="eastAsia" w:ascii="楷体" w:hAnsi="楷体" w:eastAsia="楷体" w:cs="楷体"/>
          <w:b/>
          <w:bCs/>
          <w:color w:val="000000" w:themeColor="text1"/>
          <w:sz w:val="24"/>
          <w:szCs w:val="24"/>
          <w14:textFill>
            <w14:solidFill>
              <w14:schemeClr w14:val="tx1"/>
            </w14:solidFill>
          </w14:textFill>
        </w:rPr>
        <w:t>损害出资人利益是公募基金可以做大的最有效的办法。</w:t>
      </w:r>
    </w:p>
    <w:p>
      <w:pPr>
        <w:numPr>
          <w:ilvl w:val="0"/>
          <w:numId w:val="3"/>
        </w:numPr>
        <w:adjustRightInd w:val="0"/>
        <w:spacing w:line="360" w:lineRule="auto"/>
        <w:ind w:firstLine="482" w:firstLineChars="200"/>
        <w:jc w:val="both"/>
        <w:rPr>
          <w:rFonts w:ascii="楷体" w:hAnsi="楷体" w:eastAsia="楷体" w:cs="楷体"/>
          <w:color w:val="000000" w:themeColor="text1"/>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公募基金行业逐步壮大的过程中，出资人的利益收入越来越小，以至于到今天公募基金规模史无前例</w:t>
      </w:r>
      <w:r>
        <w:rPr>
          <w:rFonts w:hint="eastAsia" w:ascii="楷体" w:hAnsi="楷体" w:eastAsia="楷体" w:cs="楷体"/>
          <w:b/>
          <w:bCs/>
          <w:color w:val="000000" w:themeColor="text1"/>
          <w:sz w:val="24"/>
          <w:szCs w:val="24"/>
          <w:lang w:eastAsia="zh"/>
          <w14:textFill>
            <w14:solidFill>
              <w14:schemeClr w14:val="tx1"/>
            </w14:solidFill>
          </w14:textFill>
        </w:rPr>
        <w:t>地</w:t>
      </w:r>
      <w:r>
        <w:rPr>
          <w:rFonts w:hint="eastAsia" w:ascii="楷体" w:hAnsi="楷体" w:eastAsia="楷体" w:cs="楷体"/>
          <w:b/>
          <w:bCs/>
          <w:color w:val="000000" w:themeColor="text1"/>
          <w:sz w:val="24"/>
          <w:szCs w:val="24"/>
          <w14:textFill>
            <w14:solidFill>
              <w14:schemeClr w14:val="tx1"/>
            </w14:solidFill>
          </w14:textFill>
        </w:rPr>
        <w:t>达到了历史最大，而出资人进入了全面损失。</w:t>
      </w:r>
      <w:r>
        <w:rPr>
          <w:rFonts w:hint="eastAsia" w:ascii="楷体" w:hAnsi="楷体" w:eastAsia="楷体" w:cs="楷体"/>
          <w:b/>
          <w:bCs/>
          <w:color w:val="000000" w:themeColor="text1"/>
          <w:sz w:val="24"/>
          <w:szCs w:val="24"/>
          <w:lang w:eastAsia="zh"/>
          <w14:textFill>
            <w14:solidFill>
              <w14:schemeClr w14:val="tx1"/>
            </w14:solidFill>
          </w14:textFill>
        </w:rPr>
        <w:t>即</w:t>
      </w:r>
      <w:r>
        <w:rPr>
          <w:rFonts w:hint="eastAsia" w:ascii="楷体" w:hAnsi="楷体" w:eastAsia="楷体" w:cs="楷体"/>
          <w:b/>
          <w:bCs/>
          <w:color w:val="000000" w:themeColor="text1"/>
          <w:sz w:val="24"/>
          <w:szCs w:val="24"/>
          <w14:textFill>
            <w14:solidFill>
              <w14:schemeClr w14:val="tx1"/>
            </w14:solidFill>
          </w14:textFill>
        </w:rPr>
        <w:t>行业壮大导致了公募基金出资人更多的损失，公募基金行业的规模是靠制造出资人损失不断壮大。</w:t>
      </w:r>
    </w:p>
    <w:p>
      <w:pPr>
        <w:adjustRightIn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几乎全部的公募基金公司和公募基金经理都说自己坚持价值投资，是价值投资的信仰者。价值投资是靠价值发现，靠买低估后，赚理性的钱，赚合理的钱。但是我们</w:t>
      </w:r>
      <w:r>
        <w:rPr>
          <w:rFonts w:hint="eastAsia" w:ascii="楷体" w:hAnsi="楷体" w:eastAsia="楷体" w:cs="楷体"/>
          <w:sz w:val="24"/>
          <w:szCs w:val="24"/>
          <w:lang w:eastAsia="zh"/>
        </w:rPr>
        <w:t>的</w:t>
      </w:r>
      <w:r>
        <w:rPr>
          <w:rFonts w:hint="eastAsia" w:ascii="楷体" w:hAnsi="楷体" w:eastAsia="楷体" w:cs="楷体"/>
          <w:sz w:val="24"/>
          <w:szCs w:val="24"/>
        </w:rPr>
        <w:t>公募基金，当他们把手中的重仓股推升到80倍市盈率的时候，实际上市场中存在着大量的国有金融股只有</w:t>
      </w:r>
      <w:r>
        <w:rPr>
          <w:rFonts w:hint="eastAsia" w:ascii="楷体" w:hAnsi="楷体" w:eastAsia="楷体" w:cs="楷体"/>
          <w:sz w:val="24"/>
          <w:szCs w:val="24"/>
          <w:lang w:eastAsia="zh"/>
        </w:rPr>
        <w:t>四五倍</w:t>
      </w:r>
      <w:r>
        <w:rPr>
          <w:rFonts w:hint="eastAsia" w:ascii="楷体" w:hAnsi="楷体" w:eastAsia="楷体" w:cs="楷体"/>
          <w:sz w:val="24"/>
          <w:szCs w:val="24"/>
        </w:rPr>
        <w:t>市盈率</w:t>
      </w:r>
      <w:r>
        <w:rPr>
          <w:rFonts w:hint="eastAsia" w:ascii="楷体" w:hAnsi="楷体" w:eastAsia="楷体" w:cs="楷体"/>
          <w:sz w:val="24"/>
          <w:szCs w:val="24"/>
          <w:lang w:eastAsia="zh"/>
        </w:rPr>
        <w:t>。</w:t>
      </w:r>
      <w:r>
        <w:rPr>
          <w:rFonts w:hint="eastAsia" w:ascii="楷体" w:hAnsi="楷体" w:eastAsia="楷体" w:cs="楷体"/>
          <w:sz w:val="24"/>
          <w:szCs w:val="24"/>
        </w:rPr>
        <w:t>如此低估值，包含着巨大投资机会和投资价值的股票，公募基金几年来一直是拒绝买入，其对这些真正有重大投资机会的低估值板块，公募基金的持仓量少之又少了，聊胜于无。</w:t>
      </w:r>
    </w:p>
    <w:p>
      <w:pPr>
        <w:adjustRightIn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中国股市有全世界最低估值，最有投资价值，投资机会最大的低估值的金融蓝筹和大型国有企业。这些低估值板块所包含的符合价值规律的巨大投资机会实属罕见，在全世界范围内找不到如此大规模的低估值、高投资价值的板块。</w:t>
      </w:r>
      <w:r>
        <w:rPr>
          <w:rFonts w:hint="eastAsia" w:ascii="楷体" w:hAnsi="楷体" w:eastAsia="楷体" w:cs="楷体"/>
          <w:b/>
          <w:bCs/>
          <w:sz w:val="24"/>
          <w:szCs w:val="24"/>
        </w:rPr>
        <w:t>2024年1月中国股市</w:t>
      </w:r>
      <w:r>
        <w:rPr>
          <w:rFonts w:hint="eastAsia" w:ascii="楷体" w:hAnsi="楷体" w:eastAsia="楷体" w:cs="楷体"/>
          <w:b/>
          <w:bCs/>
          <w:sz w:val="24"/>
          <w:szCs w:val="24"/>
          <w:lang w:eastAsia="zh"/>
        </w:rPr>
        <w:t>急速</w:t>
      </w:r>
      <w:r>
        <w:rPr>
          <w:rFonts w:hint="eastAsia" w:ascii="楷体" w:hAnsi="楷体" w:eastAsia="楷体" w:cs="楷体"/>
          <w:b/>
          <w:bCs/>
          <w:sz w:val="24"/>
          <w:szCs w:val="24"/>
        </w:rPr>
        <w:t>崩塌过程中，政策资金入市所买入的都是这些低估值板块，政策资金通过连续的大规模买入这些低估值板块，稳定了中国资本市场。事实证明这些板块存在着巨大的机会。</w:t>
      </w:r>
      <w:r>
        <w:rPr>
          <w:rFonts w:hint="eastAsia" w:ascii="楷体" w:hAnsi="楷体" w:eastAsia="楷体" w:cs="楷体"/>
          <w:sz w:val="24"/>
          <w:szCs w:val="24"/>
        </w:rPr>
        <w:t>投资这些板块，在这些板块上做价值发现可以获得稳定的、理性的盈利。但我们在公募基金的持仓数据中看到，公募基金一直对这些板块的配置少之又少。</w:t>
      </w:r>
    </w:p>
    <w:p>
      <w:pPr>
        <w:adjustRightInd w:val="0"/>
        <w:spacing w:line="360" w:lineRule="auto"/>
        <w:ind w:firstLine="480" w:firstLineChars="200"/>
        <w:rPr>
          <w:rFonts w:ascii="楷体" w:hAnsi="楷体" w:eastAsia="楷体" w:cs="楷体"/>
          <w:b/>
          <w:bCs/>
          <w:sz w:val="24"/>
          <w:szCs w:val="24"/>
        </w:rPr>
      </w:pPr>
      <w:r>
        <w:rPr>
          <w:rFonts w:hint="eastAsia" w:ascii="楷体" w:hAnsi="楷体" w:eastAsia="楷体" w:cs="楷体"/>
          <w:sz w:val="24"/>
          <w:szCs w:val="24"/>
        </w:rPr>
        <w:t>公募基金出现了：</w:t>
      </w:r>
      <w:r>
        <w:rPr>
          <w:rFonts w:hint="eastAsia" w:ascii="楷体" w:hAnsi="楷体" w:eastAsia="楷体" w:cs="楷体"/>
          <w:b/>
          <w:bCs/>
          <w:sz w:val="24"/>
          <w:szCs w:val="24"/>
        </w:rPr>
        <w:t>一方面在高估值板块用社会大众的巨量资金所形成的定价权不断</w:t>
      </w:r>
      <w:r>
        <w:rPr>
          <w:rFonts w:hint="eastAsia" w:ascii="楷体" w:hAnsi="楷体" w:eastAsia="楷体" w:cs="楷体"/>
          <w:b/>
          <w:bCs/>
          <w:sz w:val="24"/>
          <w:szCs w:val="24"/>
          <w:lang w:eastAsia="zh"/>
        </w:rPr>
        <w:t>地</w:t>
      </w:r>
      <w:r>
        <w:rPr>
          <w:rFonts w:hint="eastAsia" w:ascii="楷体" w:hAnsi="楷体" w:eastAsia="楷体" w:cs="楷体"/>
          <w:b/>
          <w:bCs/>
          <w:sz w:val="24"/>
          <w:szCs w:val="24"/>
        </w:rPr>
        <w:t>制造泡沫，从而让客户的钱赔掉，同时坚决不买低估值板块，不去挣合乎价值规律的</w:t>
      </w:r>
      <w:r>
        <w:rPr>
          <w:rFonts w:hint="eastAsia" w:ascii="楷体" w:hAnsi="楷体" w:eastAsia="楷体" w:cs="楷体"/>
          <w:b/>
          <w:bCs/>
          <w:sz w:val="24"/>
          <w:szCs w:val="24"/>
          <w:lang w:eastAsia="zh"/>
        </w:rPr>
        <w:t>、</w:t>
      </w:r>
      <w:r>
        <w:rPr>
          <w:rFonts w:hint="eastAsia" w:ascii="楷体" w:hAnsi="楷体" w:eastAsia="楷体" w:cs="楷体"/>
          <w:b/>
          <w:bCs/>
          <w:sz w:val="24"/>
          <w:szCs w:val="24"/>
        </w:rPr>
        <w:t>理性的钱，不去帮助客户终极实现盈利。</w:t>
      </w:r>
      <w:r>
        <w:rPr>
          <w:rFonts w:hint="eastAsia" w:ascii="楷体" w:hAnsi="楷体" w:eastAsia="楷体" w:cs="楷体"/>
          <w:b/>
          <w:bCs/>
          <w:sz w:val="24"/>
          <w:szCs w:val="24"/>
          <w:lang w:eastAsia="zh"/>
        </w:rPr>
        <w:t>而</w:t>
      </w:r>
      <w:r>
        <w:rPr>
          <w:rFonts w:hint="eastAsia" w:ascii="楷体" w:hAnsi="楷体" w:eastAsia="楷体" w:cs="楷体"/>
          <w:b/>
          <w:bCs/>
          <w:sz w:val="24"/>
          <w:szCs w:val="24"/>
        </w:rPr>
        <w:t>高估值板块，公募基金</w:t>
      </w:r>
      <w:r>
        <w:rPr>
          <w:rFonts w:hint="eastAsia" w:ascii="楷体" w:hAnsi="楷体" w:eastAsia="楷体" w:cs="楷体"/>
          <w:b/>
          <w:bCs/>
          <w:sz w:val="24"/>
          <w:szCs w:val="24"/>
          <w:lang w:eastAsia="zh"/>
        </w:rPr>
        <w:t>却</w:t>
      </w:r>
      <w:r>
        <w:rPr>
          <w:rFonts w:hint="eastAsia" w:ascii="楷体" w:hAnsi="楷体" w:eastAsia="楷体" w:cs="楷体"/>
          <w:b/>
          <w:bCs/>
          <w:sz w:val="24"/>
          <w:szCs w:val="24"/>
        </w:rPr>
        <w:t>疯狂的</w:t>
      </w:r>
      <w:r>
        <w:rPr>
          <w:rFonts w:hint="eastAsia" w:ascii="楷体" w:hAnsi="楷体" w:eastAsia="楷体" w:cs="楷体"/>
          <w:b/>
          <w:bCs/>
          <w:sz w:val="24"/>
          <w:szCs w:val="24"/>
          <w:lang w:eastAsia="zh"/>
        </w:rPr>
        <w:t>、</w:t>
      </w:r>
      <w:r>
        <w:rPr>
          <w:rFonts w:hint="eastAsia" w:ascii="楷体" w:hAnsi="楷体" w:eastAsia="楷体" w:cs="楷体"/>
          <w:b/>
          <w:bCs/>
          <w:sz w:val="24"/>
          <w:szCs w:val="24"/>
        </w:rPr>
        <w:t>持续的</w:t>
      </w:r>
      <w:r>
        <w:rPr>
          <w:rFonts w:hint="eastAsia" w:ascii="楷体" w:hAnsi="楷体" w:eastAsia="楷体" w:cs="楷体"/>
          <w:b/>
          <w:bCs/>
          <w:sz w:val="24"/>
          <w:szCs w:val="24"/>
          <w:lang w:eastAsia="zh"/>
        </w:rPr>
        <w:t>、</w:t>
      </w:r>
      <w:r>
        <w:rPr>
          <w:rFonts w:hint="eastAsia" w:ascii="楷体" w:hAnsi="楷体" w:eastAsia="楷体" w:cs="楷体"/>
          <w:b/>
          <w:bCs/>
          <w:sz w:val="24"/>
          <w:szCs w:val="24"/>
        </w:rPr>
        <w:t>不停</w:t>
      </w:r>
      <w:r>
        <w:rPr>
          <w:rFonts w:hint="eastAsia" w:ascii="楷体" w:hAnsi="楷体" w:eastAsia="楷体" w:cs="楷体"/>
          <w:b/>
          <w:bCs/>
          <w:sz w:val="24"/>
          <w:szCs w:val="24"/>
          <w:lang w:eastAsia="zh"/>
        </w:rPr>
        <w:t>地</w:t>
      </w:r>
      <w:r>
        <w:rPr>
          <w:rFonts w:hint="eastAsia" w:ascii="楷体" w:hAnsi="楷体" w:eastAsia="楷体" w:cs="楷体"/>
          <w:b/>
          <w:bCs/>
          <w:sz w:val="24"/>
          <w:szCs w:val="24"/>
        </w:rPr>
        <w:t>买入；一定会挣钱的低估值板块，公募基金看也不看，拒绝买入。</w:t>
      </w:r>
    </w:p>
    <w:p>
      <w:pPr>
        <w:adjustRightInd w:val="0"/>
        <w:spacing w:line="360" w:lineRule="auto"/>
        <w:ind w:firstLine="482" w:firstLineChars="200"/>
        <w:jc w:val="both"/>
        <w:rPr>
          <w:rFonts w:hint="eastAsia" w:ascii="楷体" w:hAnsi="楷体" w:eastAsia="楷体" w:cs="楷体"/>
          <w:b/>
          <w:bCs/>
          <w:sz w:val="24"/>
          <w:szCs w:val="24"/>
        </w:rPr>
      </w:pPr>
      <w:r>
        <w:rPr>
          <w:rFonts w:hint="eastAsia" w:ascii="楷体" w:hAnsi="楷体" w:eastAsia="楷体" w:cs="楷体"/>
          <w:b/>
          <w:bCs/>
          <w:sz w:val="24"/>
          <w:szCs w:val="24"/>
        </w:rPr>
        <w:t>这是为什么呢？公募基金这样做的目的是什么？</w:t>
      </w:r>
    </w:p>
    <w:p>
      <w:pPr>
        <w:adjustRightInd w:val="0"/>
        <w:spacing w:line="360" w:lineRule="auto"/>
        <w:ind w:firstLine="482" w:firstLineChars="200"/>
        <w:jc w:val="both"/>
        <w:rPr>
          <w:rFonts w:hint="eastAsia" w:ascii="楷体" w:hAnsi="楷体" w:eastAsia="楷体" w:cs="楷体"/>
          <w:b/>
          <w:bCs/>
          <w:sz w:val="24"/>
          <w:szCs w:val="24"/>
        </w:rPr>
      </w:pPr>
    </w:p>
    <w:p>
      <w:pPr>
        <w:pStyle w:val="3"/>
        <w:numPr>
          <w:ilvl w:val="0"/>
          <w:numId w:val="2"/>
        </w:numPr>
        <w:jc w:val="both"/>
        <w:rPr>
          <w:szCs w:val="30"/>
        </w:rPr>
      </w:pPr>
      <w:bookmarkStart w:id="11" w:name="_Toc11407"/>
      <w:r>
        <w:rPr>
          <w:szCs w:val="30"/>
        </w:rPr>
        <w:t>公募基金靠收割客户壮大自身利益</w:t>
      </w:r>
      <w:bookmarkEnd w:id="11"/>
    </w:p>
    <w:p>
      <w:pPr>
        <w:adjustRightInd w:val="0"/>
        <w:spacing w:line="360" w:lineRule="auto"/>
        <w:ind w:firstLine="482" w:firstLineChars="200"/>
        <w:rPr>
          <w:rFonts w:ascii="楷体" w:hAnsi="楷体" w:eastAsia="楷体" w:cs="楷体"/>
          <w:b/>
          <w:bCs/>
          <w:sz w:val="24"/>
          <w:szCs w:val="24"/>
        </w:rPr>
      </w:pPr>
      <w:r>
        <w:rPr>
          <w:rFonts w:hint="eastAsia" w:ascii="楷体" w:hAnsi="楷体" w:eastAsia="楷体" w:cs="楷体"/>
          <w:b/>
          <w:bCs/>
          <w:sz w:val="24"/>
          <w:szCs w:val="24"/>
        </w:rPr>
        <w:t>人类金融史证明，人类历史上最伟大的投资家</w:t>
      </w:r>
      <w:r>
        <w:rPr>
          <w:rFonts w:hint="eastAsia" w:ascii="楷体" w:hAnsi="楷体" w:eastAsia="楷体" w:cs="楷体"/>
          <w:b/>
          <w:bCs/>
          <w:sz w:val="24"/>
          <w:szCs w:val="24"/>
          <w:lang w:eastAsia="zh"/>
        </w:rPr>
        <w:t>、</w:t>
      </w:r>
      <w:r>
        <w:rPr>
          <w:rFonts w:hint="eastAsia" w:ascii="楷体" w:hAnsi="楷体" w:eastAsia="楷体" w:cs="楷体"/>
          <w:b/>
          <w:bCs/>
          <w:sz w:val="24"/>
          <w:szCs w:val="24"/>
        </w:rPr>
        <w:t>投资机构，都是践行价值投资的，没有不靠价值投资就可以长治久安</w:t>
      </w:r>
      <w:r>
        <w:rPr>
          <w:rFonts w:hint="eastAsia" w:ascii="楷体" w:hAnsi="楷体" w:eastAsia="楷体" w:cs="楷体"/>
          <w:b/>
          <w:bCs/>
          <w:sz w:val="24"/>
          <w:szCs w:val="24"/>
          <w:lang w:eastAsia="zh"/>
        </w:rPr>
        <w:t>地</w:t>
      </w:r>
      <w:r>
        <w:rPr>
          <w:rFonts w:hint="eastAsia" w:ascii="楷体" w:hAnsi="楷体" w:eastAsia="楷体" w:cs="楷体"/>
          <w:b/>
          <w:bCs/>
          <w:sz w:val="24"/>
          <w:szCs w:val="24"/>
        </w:rPr>
        <w:t>稳定获利。人类金融史证明，只有价值投资能够长期做大做强，做</w:t>
      </w:r>
      <w:r>
        <w:rPr>
          <w:rFonts w:hint="eastAsia" w:ascii="楷体" w:hAnsi="楷体" w:eastAsia="楷体" w:cs="楷体"/>
          <w:b/>
          <w:bCs/>
          <w:sz w:val="24"/>
          <w:szCs w:val="24"/>
          <w:lang w:eastAsia="zh"/>
        </w:rPr>
        <w:t>得</w:t>
      </w:r>
      <w:r>
        <w:rPr>
          <w:rFonts w:hint="eastAsia" w:ascii="楷体" w:hAnsi="楷体" w:eastAsia="楷体" w:cs="楷体"/>
          <w:b/>
          <w:bCs/>
          <w:sz w:val="24"/>
          <w:szCs w:val="24"/>
        </w:rPr>
        <w:t>持久。为什么中国的公募基金一方面嘴上高喊着要做价值投资，但另一方面在实际行动上完全不做价值投资，难道他们不想稳定获利吗？难道他们不想做大做强吗？</w:t>
      </w:r>
    </w:p>
    <w:p>
      <w:pPr>
        <w:adjustRightInd w:val="0"/>
        <w:spacing w:line="360" w:lineRule="auto"/>
        <w:ind w:firstLine="482" w:firstLineChars="200"/>
        <w:rPr>
          <w:rFonts w:hint="eastAsia" w:ascii="楷体" w:hAnsi="楷体" w:eastAsia="楷体" w:cs="楷体"/>
          <w:b/>
          <w:bCs/>
          <w:sz w:val="24"/>
          <w:szCs w:val="24"/>
        </w:rPr>
      </w:pPr>
      <w:r>
        <w:rPr>
          <w:rFonts w:hint="eastAsia" w:ascii="楷体" w:hAnsi="楷体" w:eastAsia="楷体" w:cs="楷体"/>
          <w:b/>
          <w:bCs/>
          <w:sz w:val="24"/>
          <w:szCs w:val="24"/>
        </w:rPr>
        <w:t>答案是公募基金这样虽然让客户亏到吐血，但是公募基金公司却获得了天量盈利。实现了公募基金公司的利益最大化</w:t>
      </w:r>
      <w:r>
        <w:rPr>
          <w:rFonts w:hint="eastAsia" w:ascii="楷体" w:hAnsi="楷体" w:eastAsia="楷体" w:cs="楷体"/>
          <w:sz w:val="24"/>
          <w:szCs w:val="24"/>
        </w:rPr>
        <w:t>！</w:t>
      </w:r>
      <w:r>
        <w:rPr>
          <w:rFonts w:hint="eastAsia" w:ascii="楷体" w:hAnsi="楷体" w:eastAsia="楷体" w:cs="楷体"/>
          <w:b/>
          <w:bCs/>
          <w:sz w:val="24"/>
          <w:szCs w:val="24"/>
        </w:rPr>
        <w:t>这样做符合公募基金的利益。公募基金找到促进自身利益的方法，其实现的利益远比践行价值规律实现的利益多得多，也远远比促进客户利益实现的利益多得多。</w:t>
      </w:r>
    </w:p>
    <w:p>
      <w:pPr>
        <w:adjustRightIn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下面我们用数据看一下公募基金是怎么样在不践行价值规律、不促进客户利益的情况下，实现自身利益巨大的增长。</w:t>
      </w:r>
    </w:p>
    <w:p>
      <w:pPr>
        <w:adjustRightInd w:val="0"/>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2023年底，中国股市总市值达到80万亿，实际流通规模24万亿，公募基金权益类基金规模9万多亿，已经占到市场实际流通股的30%左右！（数据来源：基金业协会）实际流通股是指日常参与交易的流通股，绝大多数上市公司大股东有流通权，但不参与交易，国有控股上市公司的大股东几乎完全不参与交易，实际流通股大约24万亿。由于公募基金权益类资金的规模已经接近10万亿，所以已经完全掌控中国资本市场的定价权。加之公募基金在使用手中资金时，往往采取集中投向特定板块，而不是平均使用，所以公募基金定价权优势更为突出。</w:t>
      </w:r>
    </w:p>
    <w:p>
      <w:pPr>
        <w:adjustRightIn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客观数据证明公募基金掌握有中国股市的定价权！公募基金在中国股市已经具有决定股市涨跌和方向的能力。中国股市稳定不稳定，健康不健康，在相当大的程度上决定于公募基金的行为。在这种情况下，公募基金一定程度上是中国资本市场健康稳定的中流砥柱的关键决定因素。</w:t>
      </w:r>
    </w:p>
    <w:p>
      <w:pPr>
        <w:adjustRightInd w:val="0"/>
        <w:spacing w:line="360" w:lineRule="auto"/>
        <w:ind w:firstLine="480" w:firstLineChars="200"/>
        <w:rPr>
          <w:rFonts w:hint="eastAsia" w:ascii="楷体" w:hAnsi="楷体" w:eastAsia="楷体" w:cs="楷体"/>
          <w:color w:val="0000FF"/>
          <w:sz w:val="24"/>
          <w:szCs w:val="24"/>
        </w:rPr>
      </w:pPr>
      <w:r>
        <w:rPr>
          <w:rFonts w:hint="eastAsia" w:ascii="楷体" w:hAnsi="楷体" w:eastAsia="楷体" w:cs="楷体"/>
          <w:sz w:val="24"/>
          <w:szCs w:val="24"/>
        </w:rPr>
        <w:t>我们统计从2007年到</w:t>
      </w:r>
      <w:r>
        <w:rPr>
          <w:rFonts w:hint="eastAsia" w:ascii="楷体" w:hAnsi="楷体" w:eastAsia="楷体" w:cs="楷体"/>
          <w:b/>
          <w:bCs/>
          <w:sz w:val="24"/>
          <w:szCs w:val="24"/>
        </w:rPr>
        <w:t>2023年的上半年</w:t>
      </w:r>
      <w:r>
        <w:rPr>
          <w:rFonts w:hint="eastAsia" w:ascii="楷体" w:hAnsi="楷体" w:eastAsia="楷体" w:cs="楷体"/>
          <w:sz w:val="24"/>
          <w:szCs w:val="24"/>
        </w:rPr>
        <w:t>16年半的数据公募基金给出资人创造的收益和公募基金自己的收益数据如下：</w:t>
      </w:r>
      <w:r>
        <w:rPr>
          <w:rFonts w:hint="eastAsia" w:ascii="楷体" w:hAnsi="楷体" w:eastAsia="楷体" w:cs="楷体"/>
          <w:color w:val="0000FF"/>
          <w:sz w:val="24"/>
          <w:szCs w:val="24"/>
        </w:rPr>
        <w:t>（2007年之前公募基金规模非常小，所以没有将其纳入统计）</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楷体" w:hAnsi="楷体" w:eastAsia="楷体" w:cs="楷体"/>
          <w:color w:val="0000FF"/>
          <w:sz w:val="24"/>
          <w:szCs w:val="24"/>
        </w:rPr>
      </w:pPr>
      <w:r>
        <w:drawing>
          <wp:inline distT="0" distB="0" distL="114300" distR="114300">
            <wp:extent cx="5724525" cy="2355215"/>
            <wp:effectExtent l="0" t="0" r="5715" b="6985"/>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49"/>
                    <a:stretch>
                      <a:fillRect/>
                    </a:stretch>
                  </pic:blipFill>
                  <pic:spPr>
                    <a:xfrm>
                      <a:off x="0" y="0"/>
                      <a:ext cx="5724525" cy="2355215"/>
                    </a:xfrm>
                    <a:prstGeom prst="rect">
                      <a:avLst/>
                    </a:prstGeom>
                    <a:noFill/>
                    <a:ln>
                      <a:noFill/>
                    </a:ln>
                  </pic:spPr>
                </pic:pic>
              </a:graphicData>
            </a:graphic>
          </wp:inline>
        </w:drawing>
      </w:r>
    </w:p>
    <w:p>
      <w:pPr>
        <w:adjustRightIn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说明：表中净利润是基金在市场上给出资人赚到的钱，管理人报酬是基金公司收取的管理费。</w:t>
      </w:r>
    </w:p>
    <w:p>
      <w:pPr>
        <w:adjustRightIn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过去16年半</w:t>
      </w:r>
      <w:r>
        <w:rPr>
          <w:rFonts w:hint="eastAsia" w:ascii="楷体" w:hAnsi="楷体" w:eastAsia="楷体" w:cs="楷体"/>
          <w:sz w:val="24"/>
          <w:szCs w:val="24"/>
          <w:lang w:eastAsia="zh"/>
        </w:rPr>
        <w:t>，</w:t>
      </w:r>
      <w:r>
        <w:rPr>
          <w:rFonts w:hint="eastAsia" w:ascii="楷体" w:hAnsi="楷体" w:eastAsia="楷体" w:cs="楷体"/>
          <w:sz w:val="24"/>
          <w:szCs w:val="24"/>
        </w:rPr>
        <w:t>权益类合计为投资人赚取13635亿。权益类基金管理公司收取管理费6187亿。占到投资人收益的45%。基金公司获取的利润是投资人获取的一半。股票型基金管理人获取的报酬占股票型基金出资人盈利更是高达74.5%。</w:t>
      </w:r>
    </w:p>
    <w:p>
      <w:pPr>
        <w:adjustRightInd w:val="0"/>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假如投资人同样</w:t>
      </w:r>
      <w:r>
        <w:rPr>
          <w:rFonts w:hint="eastAsia" w:ascii="楷体" w:hAnsi="楷体" w:eastAsia="楷体" w:cs="楷体"/>
          <w:sz w:val="24"/>
          <w:szCs w:val="24"/>
          <w:lang w:eastAsia="zh"/>
        </w:rPr>
        <w:t>用</w:t>
      </w:r>
      <w:r>
        <w:rPr>
          <w:rFonts w:hint="eastAsia" w:ascii="楷体" w:hAnsi="楷体" w:eastAsia="楷体" w:cs="楷体"/>
          <w:sz w:val="24"/>
          <w:szCs w:val="24"/>
        </w:rPr>
        <w:t>这么多钱，不投资于需承担巨大风险的权益类基金，而是去投资无风险的国债。过去16年国债收益率大部分时间高于3.5%，可以计算出过去</w:t>
      </w:r>
      <w:r>
        <w:rPr>
          <w:rFonts w:hint="eastAsia" w:ascii="楷体" w:hAnsi="楷体" w:eastAsia="楷体" w:cs="楷体"/>
          <w:color w:val="FF0000"/>
          <w:sz w:val="24"/>
          <w:szCs w:val="24"/>
        </w:rPr>
        <w:t>16年半</w:t>
      </w:r>
      <w:r>
        <w:rPr>
          <w:rFonts w:hint="eastAsia" w:ascii="楷体" w:hAnsi="楷体" w:eastAsia="楷体" w:cs="楷体"/>
          <w:sz w:val="24"/>
          <w:szCs w:val="24"/>
        </w:rPr>
        <w:t>，同样的资金投资无风险国债所能获取的收益：</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ascii="楷体" w:hAnsi="楷体" w:eastAsia="楷体" w:cs="楷体"/>
          <w:b/>
          <w:bCs/>
          <w:sz w:val="24"/>
          <w:szCs w:val="24"/>
        </w:rPr>
      </w:pPr>
      <w:r>
        <w:drawing>
          <wp:inline distT="0" distB="0" distL="114300" distR="114300">
            <wp:extent cx="5726430" cy="2767330"/>
            <wp:effectExtent l="0" t="0" r="3810" b="6350"/>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pic:cNvPicPr>
                      <a:picLocks noChangeAspect="1"/>
                    </pic:cNvPicPr>
                  </pic:nvPicPr>
                  <pic:blipFill>
                    <a:blip r:embed="rId50"/>
                    <a:stretch>
                      <a:fillRect/>
                    </a:stretch>
                  </pic:blipFill>
                  <pic:spPr>
                    <a:xfrm>
                      <a:off x="0" y="0"/>
                      <a:ext cx="5726430" cy="2767330"/>
                    </a:xfrm>
                    <a:prstGeom prst="rect">
                      <a:avLst/>
                    </a:prstGeom>
                    <a:noFill/>
                    <a:ln>
                      <a:noFill/>
                    </a:ln>
                  </pic:spPr>
                </pic:pic>
              </a:graphicData>
            </a:graphic>
          </wp:inline>
        </w:drawing>
      </w:r>
      <w:r>
        <w:rPr>
          <w:rFonts w:hint="eastAsia" w:ascii="楷体" w:hAnsi="楷体" w:eastAsia="楷体" w:cs="楷体"/>
          <w:sz w:val="24"/>
          <w:szCs w:val="24"/>
        </w:rPr>
        <w:t>权益类基金的钱投资国债，合计收益是19864亿。也就是说，</w:t>
      </w:r>
      <w:r>
        <w:rPr>
          <w:rFonts w:hint="eastAsia" w:ascii="楷体" w:hAnsi="楷体" w:eastAsia="楷体" w:cs="楷体"/>
          <w:b/>
          <w:bCs/>
          <w:sz w:val="24"/>
          <w:szCs w:val="24"/>
        </w:rPr>
        <w:t>如果中国权益类基金的出资人把钱投资于无风险国债，获取的收益大于权益类基金的收益。权益类基金的出资人承担风险并没有获得比不承担风险更多的回报。而且所获得的收益相当一部分被基金管理公司拿走。</w:t>
      </w:r>
    </w:p>
    <w:p>
      <w:pPr>
        <w:adjustRightInd w:val="0"/>
        <w:spacing w:line="360" w:lineRule="auto"/>
        <w:ind w:firstLine="480" w:firstLineChars="200"/>
        <w:rPr>
          <w:rFonts w:hint="eastAsia" w:ascii="楷体" w:hAnsi="楷体" w:eastAsia="楷体" w:cs="楷体"/>
          <w:b/>
          <w:bCs/>
          <w:color w:val="000000" w:themeColor="text1"/>
          <w:sz w:val="24"/>
          <w:szCs w:val="24"/>
          <w14:textFill>
            <w14:solidFill>
              <w14:schemeClr w14:val="tx1"/>
            </w14:solidFill>
          </w14:textFill>
        </w:rPr>
      </w:pPr>
      <w:r>
        <w:rPr>
          <w:rFonts w:hint="eastAsia" w:ascii="楷体" w:hAnsi="楷体" w:eastAsia="楷体" w:cs="楷体"/>
          <w:sz w:val="24"/>
          <w:szCs w:val="24"/>
        </w:rPr>
        <w:t>资产管理业把基金的收益减掉投资于国债获取的无风险收益称之为基金的真实收益，超无风险国债收益后的收益才是基金公司真实管理能力的体现，不能创造超国债收益的资产管理者都是在毁灭财富！数据表明中国公募基金在2007到2023年前半年的</w:t>
      </w:r>
      <w:r>
        <w:rPr>
          <w:rFonts w:hint="eastAsia" w:ascii="楷体" w:hAnsi="楷体" w:eastAsia="楷体" w:cs="楷体"/>
          <w:color w:val="000000" w:themeColor="text1"/>
          <w:sz w:val="24"/>
          <w:szCs w:val="24"/>
          <w14:textFill>
            <w14:solidFill>
              <w14:schemeClr w14:val="tx1"/>
            </w14:solidFill>
          </w14:textFill>
        </w:rPr>
        <w:t>16年半中</w:t>
      </w:r>
      <w:r>
        <w:rPr>
          <w:rFonts w:hint="eastAsia" w:ascii="楷体" w:hAnsi="楷体" w:eastAsia="楷体" w:cs="楷体"/>
          <w:sz w:val="24"/>
          <w:szCs w:val="24"/>
        </w:rPr>
        <w:t>获得的真实超国债收益是-6228亿。</w:t>
      </w:r>
      <w:r>
        <w:rPr>
          <w:rFonts w:hint="eastAsia" w:ascii="楷体" w:hAnsi="楷体" w:eastAsia="楷体" w:cs="楷体"/>
          <w:b/>
          <w:bCs/>
          <w:color w:val="000000" w:themeColor="text1"/>
          <w:sz w:val="24"/>
          <w:szCs w:val="24"/>
          <w14:textFill>
            <w14:solidFill>
              <w14:schemeClr w14:val="tx1"/>
            </w14:solidFill>
          </w14:textFill>
        </w:rPr>
        <w:t>权益类公募基金毁灭了6000多亿的财富后，自己挣了6000多亿！</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ascii="楷体" w:hAnsi="楷体" w:eastAsia="楷体" w:cs="楷体"/>
          <w:sz w:val="24"/>
          <w:szCs w:val="24"/>
        </w:rPr>
      </w:pPr>
      <w:r>
        <w:drawing>
          <wp:inline distT="0" distB="0" distL="114300" distR="114300">
            <wp:extent cx="5723255" cy="1488440"/>
            <wp:effectExtent l="0" t="0" r="6985" b="5080"/>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pic:cNvPicPr>
                      <a:picLocks noChangeAspect="1"/>
                    </pic:cNvPicPr>
                  </pic:nvPicPr>
                  <pic:blipFill>
                    <a:blip r:embed="rId51"/>
                    <a:stretch>
                      <a:fillRect/>
                    </a:stretch>
                  </pic:blipFill>
                  <pic:spPr>
                    <a:xfrm>
                      <a:off x="0" y="0"/>
                      <a:ext cx="5723255" cy="1488440"/>
                    </a:xfrm>
                    <a:prstGeom prst="rect">
                      <a:avLst/>
                    </a:prstGeom>
                    <a:noFill/>
                    <a:ln>
                      <a:noFill/>
                    </a:ln>
                  </pic:spPr>
                </pic:pic>
              </a:graphicData>
            </a:graphic>
          </wp:inline>
        </w:drawing>
      </w:r>
      <w:r>
        <w:rPr>
          <w:rFonts w:hint="eastAsia" w:ascii="楷体" w:hAnsi="楷体" w:eastAsia="楷体" w:cs="楷体"/>
          <w:sz w:val="24"/>
          <w:szCs w:val="24"/>
        </w:rPr>
        <w:t>在上文中我已经把中国公募基金从2007年到2023年前半年的16年半里，基金出资人的收益和基金管理公司的收益进行了对比</w:t>
      </w:r>
      <w:r>
        <w:rPr>
          <w:rFonts w:hint="eastAsia" w:ascii="楷体" w:hAnsi="楷体" w:eastAsia="楷体" w:cs="楷体"/>
          <w:sz w:val="24"/>
          <w:szCs w:val="24"/>
          <w:lang w:eastAsia="zh"/>
        </w:rPr>
        <w:t>。</w:t>
      </w:r>
      <w:r>
        <w:rPr>
          <w:rFonts w:hint="eastAsia" w:ascii="楷体" w:hAnsi="楷体" w:eastAsia="楷体" w:cs="楷体"/>
          <w:sz w:val="24"/>
          <w:szCs w:val="24"/>
        </w:rPr>
        <w:t>证明了公募基金赚</w:t>
      </w:r>
      <w:r>
        <w:rPr>
          <w:rFonts w:hint="eastAsia" w:ascii="楷体" w:hAnsi="楷体" w:eastAsia="楷体" w:cs="楷体"/>
          <w:sz w:val="24"/>
          <w:szCs w:val="24"/>
          <w:lang w:eastAsia="zh"/>
        </w:rPr>
        <w:t>得</w:t>
      </w:r>
      <w:r>
        <w:rPr>
          <w:rFonts w:hint="eastAsia" w:ascii="楷体" w:hAnsi="楷体" w:eastAsia="楷体" w:cs="楷体"/>
          <w:sz w:val="24"/>
          <w:szCs w:val="24"/>
        </w:rPr>
        <w:t>比出资人多，出资人挣了非常非常少的一点点，低于无风险的国债收益率。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楷体" w:hAnsi="楷体" w:eastAsia="楷体" w:cs="楷体"/>
          <w:sz w:val="24"/>
          <w:szCs w:val="24"/>
        </w:rPr>
      </w:pPr>
      <w:r>
        <w:rPr>
          <w:rFonts w:hint="eastAsia" w:ascii="楷体" w:hAnsi="楷体" w:eastAsia="楷体" w:cs="楷体"/>
          <w:sz w:val="24"/>
          <w:szCs w:val="24"/>
        </w:rPr>
        <w:t>下面的数据是我把2018年到2023年年底，6年时间里基金公司的管理费收入和基金投资人的收入数据进行的统计。为什么要做这些重复性的工作呢？目的是通过这项重复工作让大家明白，基金规模随着时间的推移越来越大，</w:t>
      </w:r>
      <w:r>
        <w:rPr>
          <w:rFonts w:hint="eastAsia" w:ascii="楷体" w:hAnsi="楷体" w:eastAsia="楷体" w:cs="楷体"/>
          <w:b/>
          <w:bCs/>
          <w:sz w:val="24"/>
          <w:szCs w:val="24"/>
        </w:rPr>
        <w:t>基金壮大的事实发生后，基金的出资人不仅赚不到小利反而出现了整体性亏损，也就是说随着时间推移，基金规模越来越大，行业地位越来越高，对中国资本市场控制力越来越强烈的过程中，同时发生的是中国基金的出资人越来越亏损了，不仅赚不了钱而且亏钱！换句话说，出现了基金规模越壮大，基金的出资人的利益越受损的情况。也就是说我用这个重复统计过去6年的数据，揭示出来一个更为残酷的真相是基金规模的壮大，导致的是基金出资人更多的损失。</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楷体" w:hAnsi="楷体" w:eastAsia="楷体" w:cs="楷体"/>
          <w:sz w:val="24"/>
          <w:szCs w:val="24"/>
        </w:rPr>
      </w:pPr>
      <w:r>
        <w:rPr>
          <w:rFonts w:hint="eastAsia" w:ascii="楷体" w:hAnsi="楷体" w:eastAsia="楷体" w:cs="楷体"/>
          <w:sz w:val="24"/>
          <w:szCs w:val="24"/>
        </w:rPr>
        <w:t>下表是中国全部权益类基金的2018年到2023年的数据，表中列出了权益类基金过去6年，基金净值平均增长率、权益类基金规模、收取的管理费也就是基金公司的收入，权益类基金净利润，净利润就是基金出资人终极收益。</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ascii="楷体" w:hAnsi="楷体" w:eastAsia="楷体" w:cs="楷体"/>
          <w:sz w:val="24"/>
          <w:szCs w:val="24"/>
        </w:rPr>
      </w:pPr>
      <w:r>
        <w:drawing>
          <wp:inline distT="0" distB="0" distL="114300" distR="114300">
            <wp:extent cx="5725160" cy="3139440"/>
            <wp:effectExtent l="0" t="0" r="5080" b="0"/>
            <wp:docPr id="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pic:cNvPicPr>
                      <a:picLocks noChangeAspect="1"/>
                    </pic:cNvPicPr>
                  </pic:nvPicPr>
                  <pic:blipFill>
                    <a:blip r:embed="rId52"/>
                    <a:stretch>
                      <a:fillRect/>
                    </a:stretch>
                  </pic:blipFill>
                  <pic:spPr>
                    <a:xfrm>
                      <a:off x="0" y="0"/>
                      <a:ext cx="5725160" cy="3139440"/>
                    </a:xfrm>
                    <a:prstGeom prst="rect">
                      <a:avLst/>
                    </a:prstGeom>
                    <a:noFill/>
                    <a:ln>
                      <a:noFill/>
                    </a:ln>
                  </pic:spPr>
                </pic:pic>
              </a:graphicData>
            </a:graphic>
          </wp:inline>
        </w:drawing>
      </w:r>
    </w:p>
    <w:p>
      <w:pPr>
        <w:spacing w:line="500" w:lineRule="exact"/>
        <w:ind w:firstLine="482" w:firstLineChars="200"/>
        <w:jc w:val="both"/>
        <w:rPr>
          <w:rFonts w:ascii="楷体" w:hAnsi="楷体" w:eastAsia="楷体"/>
          <w:b/>
          <w:bCs/>
          <w:sz w:val="24"/>
          <w:szCs w:val="24"/>
        </w:rPr>
      </w:pPr>
      <w:r>
        <w:rPr>
          <w:rFonts w:hint="eastAsia" w:ascii="楷体" w:hAnsi="楷体" w:eastAsia="楷体"/>
          <w:b/>
          <w:bCs/>
          <w:sz w:val="24"/>
          <w:szCs w:val="24"/>
        </w:rPr>
        <w:t>数据中2019年</w:t>
      </w:r>
      <w:r>
        <w:rPr>
          <w:rFonts w:hint="eastAsia" w:ascii="楷体" w:hAnsi="楷体" w:eastAsia="楷体"/>
          <w:b/>
          <w:bCs/>
          <w:sz w:val="24"/>
          <w:szCs w:val="24"/>
          <w:lang w:eastAsia="zh"/>
        </w:rPr>
        <w:t>—</w:t>
      </w:r>
      <w:r>
        <w:rPr>
          <w:rFonts w:hint="eastAsia" w:ascii="楷体" w:hAnsi="楷体" w:eastAsia="楷体"/>
          <w:b/>
          <w:bCs/>
          <w:sz w:val="24"/>
          <w:szCs w:val="24"/>
        </w:rPr>
        <w:t>2021年，中国权益类基金的基金净值三年合计</w:t>
      </w:r>
      <w:r>
        <w:rPr>
          <w:rFonts w:hint="eastAsia" w:ascii="楷体" w:hAnsi="楷体" w:eastAsia="楷体"/>
          <w:b/>
          <w:bCs/>
          <w:sz w:val="24"/>
          <w:szCs w:val="24"/>
          <w:lang w:eastAsia="zh"/>
        </w:rPr>
        <w:t>增长了</w:t>
      </w:r>
      <w:r>
        <w:rPr>
          <w:rFonts w:hint="eastAsia" w:ascii="楷体" w:hAnsi="楷体" w:eastAsia="楷体"/>
          <w:b/>
          <w:bCs/>
          <w:sz w:val="24"/>
          <w:szCs w:val="24"/>
        </w:rPr>
        <w:t>110%，如此高的净值增长在各大类资产中很难出现的。超高收益率推动权益类基金规模从2018年1.5万亿迅速暴增到2021年的6万亿，三年增长了4倍。同期权益类基金管理公司管理费从2018年的244亿增长到2021年的826亿人民币，实现了近3倍的增长。由于基金公司的管理费是每年都收取，6年下来基金公司管理费合计收取了3,149亿。基金公司的收入跟规模是正比例关系，由此凡是能推动规模增长的，等效推动基金公司的收入增长。在短期超高收益推动基金规模和基金公司收入超高速增长的同时，我们看一下权益类基金出资人的终极收益是：6年（18-23）累计亏损</w:t>
      </w:r>
      <w:r>
        <w:rPr>
          <w:rFonts w:hint="eastAsia" w:ascii="楷体" w:hAnsi="楷体" w:eastAsia="楷体"/>
          <w:b/>
          <w:bCs/>
          <w:color w:val="FF0000"/>
          <w:sz w:val="24"/>
          <w:szCs w:val="24"/>
        </w:rPr>
        <w:t>2,664</w:t>
      </w:r>
      <w:r>
        <w:rPr>
          <w:rFonts w:hint="eastAsia" w:ascii="楷体" w:hAnsi="楷体" w:eastAsia="楷体"/>
          <w:b/>
          <w:bCs/>
          <w:sz w:val="24"/>
          <w:szCs w:val="24"/>
        </w:rPr>
        <w:t>亿！</w:t>
      </w:r>
    </w:p>
    <w:p>
      <w:pPr>
        <w:spacing w:line="500" w:lineRule="exact"/>
        <w:ind w:firstLine="480" w:firstLineChars="200"/>
        <w:jc w:val="both"/>
        <w:rPr>
          <w:rFonts w:ascii="楷体" w:hAnsi="楷体" w:eastAsia="楷体"/>
          <w:sz w:val="24"/>
          <w:szCs w:val="24"/>
        </w:rPr>
      </w:pPr>
      <w:r>
        <w:rPr>
          <w:rFonts w:hint="eastAsia" w:ascii="楷体" w:hAnsi="楷体" w:eastAsia="楷体"/>
          <w:sz w:val="24"/>
          <w:szCs w:val="24"/>
        </w:rPr>
        <w:t>这</w:t>
      </w:r>
      <w:r>
        <w:rPr>
          <w:rFonts w:hint="eastAsia" w:ascii="楷体" w:hAnsi="楷体" w:eastAsia="楷体"/>
          <w:b/>
          <w:bCs/>
          <w:sz w:val="24"/>
          <w:szCs w:val="24"/>
        </w:rPr>
        <w:t>-2,664</w:t>
      </w:r>
      <w:r>
        <w:rPr>
          <w:rFonts w:hint="eastAsia" w:ascii="楷体" w:hAnsi="楷体" w:eastAsia="楷体"/>
          <w:sz w:val="24"/>
          <w:szCs w:val="24"/>
        </w:rPr>
        <w:t>亿的年化收益率为-4.46%。如果把这平均40,000亿资金买入完全没有任何风险的国债（同期中国国债的平均年化收益率2.5%），可获得的收益为6,000亿元。</w:t>
      </w:r>
    </w:p>
    <w:p>
      <w:pPr>
        <w:adjustRightInd w:val="0"/>
        <w:spacing w:line="360" w:lineRule="auto"/>
        <w:ind w:firstLine="482" w:firstLineChars="200"/>
        <w:jc w:val="both"/>
        <w:rPr>
          <w:rFonts w:ascii="楷体" w:hAnsi="楷体" w:eastAsia="楷体" w:cs="楷体"/>
          <w:b/>
          <w:bCs/>
          <w:color w:val="000000" w:themeColor="text1"/>
          <w:sz w:val="24"/>
          <w:szCs w:val="24"/>
          <w14:textFill>
            <w14:solidFill>
              <w14:schemeClr w14:val="tx1"/>
            </w14:solidFill>
          </w14:textFill>
        </w:rPr>
      </w:pPr>
      <w:r>
        <w:rPr>
          <w:rFonts w:hint="eastAsia" w:ascii="楷体" w:hAnsi="楷体" w:eastAsia="楷体" w:cs="楷体"/>
          <w:b/>
          <w:bCs/>
          <w:sz w:val="24"/>
          <w:szCs w:val="24"/>
        </w:rPr>
        <w:t>数据展示的真相是：</w:t>
      </w:r>
      <w:r>
        <w:rPr>
          <w:rFonts w:hint="eastAsia" w:ascii="楷体" w:hAnsi="楷体" w:eastAsia="楷体" w:cs="楷体"/>
          <w:b/>
          <w:bCs/>
          <w:color w:val="000000" w:themeColor="text1"/>
          <w:sz w:val="24"/>
          <w:szCs w:val="24"/>
          <w14:textFill>
            <w14:solidFill>
              <w14:schemeClr w14:val="tx1"/>
            </w14:solidFill>
          </w14:textFill>
        </w:rPr>
        <w:t>“2018年</w:t>
      </w:r>
      <w:r>
        <w:rPr>
          <w:rFonts w:hint="eastAsia" w:ascii="楷体" w:hAnsi="楷体" w:eastAsia="楷体" w:cs="楷体"/>
          <w:b/>
          <w:bCs/>
          <w:color w:val="000000" w:themeColor="text1"/>
          <w:sz w:val="24"/>
          <w:szCs w:val="24"/>
          <w:lang w:eastAsia="zh"/>
          <w14:textFill>
            <w14:solidFill>
              <w14:schemeClr w14:val="tx1"/>
            </w14:solidFill>
          </w14:textFill>
        </w:rPr>
        <w:t>—</w:t>
      </w:r>
      <w:r>
        <w:rPr>
          <w:rFonts w:hint="eastAsia" w:ascii="楷体" w:hAnsi="楷体" w:eastAsia="楷体" w:cs="楷体"/>
          <w:b/>
          <w:bCs/>
          <w:color w:val="000000" w:themeColor="text1"/>
          <w:sz w:val="24"/>
          <w:szCs w:val="24"/>
          <w14:textFill>
            <w14:solidFill>
              <w14:schemeClr w14:val="tx1"/>
            </w14:solidFill>
          </w14:textFill>
        </w:rPr>
        <w:t>2023年的6年时间里，公募基金公司成功实现了自身收入的暴增，但投资公募基金权益类产品出资人整体是亏损的。权益类公募基金在过去6年里并没有给出资人创造一分钱的收益，只是给</w:t>
      </w:r>
      <w:r>
        <w:rPr>
          <w:rFonts w:hint="eastAsia" w:ascii="楷体" w:hAnsi="楷体" w:eastAsia="楷体" w:cs="楷体"/>
          <w:b/>
          <w:bCs/>
          <w:color w:val="000000" w:themeColor="text1"/>
          <w:sz w:val="24"/>
          <w:szCs w:val="24"/>
          <w:lang w:eastAsia="zh"/>
          <w14:textFill>
            <w14:solidFill>
              <w14:schemeClr w14:val="tx1"/>
            </w14:solidFill>
          </w14:textFill>
        </w:rPr>
        <w:t>公募基金</w:t>
      </w:r>
      <w:r>
        <w:rPr>
          <w:rFonts w:hint="eastAsia" w:ascii="楷体" w:hAnsi="楷体" w:eastAsia="楷体" w:cs="楷体"/>
          <w:b/>
          <w:bCs/>
          <w:color w:val="000000" w:themeColor="text1"/>
          <w:sz w:val="24"/>
          <w:szCs w:val="24"/>
          <w14:textFill>
            <w14:solidFill>
              <w14:schemeClr w14:val="tx1"/>
            </w14:solidFill>
          </w14:textFill>
        </w:rPr>
        <w:t>公司自己创造了巨额收益。”</w:t>
      </w:r>
    </w:p>
    <w:p>
      <w:pPr>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下面我们用同样的数据结构，来看规模最大的前10家权益类基金和规模最大的前5家权益类基金的数据统计。</w:t>
      </w:r>
    </w:p>
    <w:p>
      <w:pPr>
        <w:keepNext w:val="0"/>
        <w:keepLines w:val="0"/>
        <w:pageBreakBefore w:val="0"/>
        <w:widowControl w:val="0"/>
        <w:kinsoku/>
        <w:wordWrap/>
        <w:overflowPunct/>
        <w:topLinePunct w:val="0"/>
        <w:autoSpaceDE/>
        <w:autoSpaceDN/>
        <w:bidi w:val="0"/>
        <w:adjustRightInd w:val="0"/>
        <w:snapToGrid w:val="0"/>
        <w:spacing w:before="180" w:line="360" w:lineRule="auto"/>
        <w:ind w:firstLine="0" w:firstLineChars="0"/>
        <w:jc w:val="both"/>
        <w:textAlignment w:val="auto"/>
        <w:rPr>
          <w:rFonts w:hint="eastAsia" w:ascii="楷体" w:hAnsi="楷体" w:eastAsia="楷体" w:cs="楷体"/>
          <w:b/>
          <w:bCs/>
          <w:color w:val="000000" w:themeColor="text1"/>
          <w:sz w:val="24"/>
          <w:szCs w:val="24"/>
          <w14:textFill>
            <w14:solidFill>
              <w14:schemeClr w14:val="tx1"/>
            </w14:solidFill>
          </w14:textFill>
        </w:rPr>
      </w:pPr>
      <w:r>
        <w:drawing>
          <wp:inline distT="0" distB="0" distL="114300" distR="114300">
            <wp:extent cx="5723255" cy="2419350"/>
            <wp:effectExtent l="0" t="0" r="6985" b="3810"/>
            <wp:docPr id="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pic:cNvPicPr>
                      <a:picLocks noChangeAspect="1"/>
                    </pic:cNvPicPr>
                  </pic:nvPicPr>
                  <pic:blipFill>
                    <a:blip r:embed="rId53"/>
                    <a:stretch>
                      <a:fillRect/>
                    </a:stretch>
                  </pic:blipFill>
                  <pic:spPr>
                    <a:xfrm>
                      <a:off x="0" y="0"/>
                      <a:ext cx="5723255" cy="2419350"/>
                    </a:xfrm>
                    <a:prstGeom prst="rect">
                      <a:avLst/>
                    </a:prstGeom>
                    <a:noFill/>
                    <a:ln>
                      <a:noFill/>
                    </a:ln>
                  </pic:spPr>
                </pic:pic>
              </a:graphicData>
            </a:graphic>
          </wp:inline>
        </w:drawing>
      </w:r>
      <w:r>
        <w:rPr>
          <w:rFonts w:hint="eastAsia" w:ascii="楷体" w:hAnsi="楷体" w:eastAsia="楷体" w:cs="楷体"/>
          <w:b/>
          <w:bCs/>
          <w:color w:val="000000" w:themeColor="text1"/>
          <w:sz w:val="24"/>
          <w:szCs w:val="24"/>
          <w14:textFill>
            <w14:solidFill>
              <w14:schemeClr w14:val="tx1"/>
            </w14:solidFill>
          </w14:textFill>
        </w:rPr>
        <w:t>在前十大基金的数据中可以看到。2018年到2023年6年时间里前</w:t>
      </w:r>
      <w:r>
        <w:rPr>
          <w:rFonts w:hint="eastAsia" w:ascii="楷体" w:hAnsi="楷体" w:eastAsia="楷体" w:cs="楷体"/>
          <w:b/>
          <w:bCs/>
          <w:color w:val="000000" w:themeColor="text1"/>
          <w:sz w:val="24"/>
          <w:szCs w:val="24"/>
          <w:lang w:eastAsia="zh"/>
          <w14:textFill>
            <w14:solidFill>
              <w14:schemeClr w14:val="tx1"/>
            </w14:solidFill>
          </w14:textFill>
        </w:rPr>
        <w:t>十大</w:t>
      </w:r>
      <w:r>
        <w:rPr>
          <w:rFonts w:hint="eastAsia" w:ascii="楷体" w:hAnsi="楷体" w:eastAsia="楷体" w:cs="楷体"/>
          <w:b/>
          <w:bCs/>
          <w:color w:val="000000" w:themeColor="text1"/>
          <w:sz w:val="24"/>
          <w:szCs w:val="24"/>
          <w14:textFill>
            <w14:solidFill>
              <w14:schemeClr w14:val="tx1"/>
            </w14:solidFill>
          </w14:textFill>
        </w:rPr>
        <w:t>基金的管理公司获得了</w:t>
      </w:r>
      <w:r>
        <w:rPr>
          <w:rFonts w:ascii="楷体" w:hAnsi="楷体" w:eastAsia="楷体" w:cs="楷体"/>
          <w:b/>
          <w:bCs/>
          <w:color w:val="000000" w:themeColor="text1"/>
          <w:sz w:val="24"/>
          <w:szCs w:val="24"/>
          <w14:textFill>
            <w14:solidFill>
              <w14:schemeClr w14:val="tx1"/>
            </w14:solidFill>
          </w14:textFill>
        </w:rPr>
        <w:t>215</w:t>
      </w:r>
      <w:r>
        <w:rPr>
          <w:rFonts w:hint="eastAsia" w:ascii="楷体" w:hAnsi="楷体" w:eastAsia="楷体" w:cs="楷体"/>
          <w:b/>
          <w:bCs/>
          <w:color w:val="000000" w:themeColor="text1"/>
          <w:sz w:val="24"/>
          <w:szCs w:val="24"/>
          <w14:textFill>
            <w14:solidFill>
              <w14:schemeClr w14:val="tx1"/>
            </w14:solidFill>
          </w14:textFill>
        </w:rPr>
        <w:t>亿的管理费收入。而同期前</w:t>
      </w:r>
      <w:r>
        <w:rPr>
          <w:rFonts w:hint="eastAsia" w:ascii="楷体" w:hAnsi="楷体" w:eastAsia="楷体" w:cs="楷体"/>
          <w:b/>
          <w:bCs/>
          <w:color w:val="000000" w:themeColor="text1"/>
          <w:sz w:val="24"/>
          <w:szCs w:val="24"/>
          <w:lang w:eastAsia="zh"/>
          <w14:textFill>
            <w14:solidFill>
              <w14:schemeClr w14:val="tx1"/>
            </w14:solidFill>
          </w14:textFill>
        </w:rPr>
        <w:t>十大</w:t>
      </w:r>
      <w:r>
        <w:rPr>
          <w:rFonts w:hint="eastAsia" w:ascii="楷体" w:hAnsi="楷体" w:eastAsia="楷体" w:cs="楷体"/>
          <w:b/>
          <w:bCs/>
          <w:color w:val="000000" w:themeColor="text1"/>
          <w:sz w:val="24"/>
          <w:szCs w:val="24"/>
          <w14:textFill>
            <w14:solidFill>
              <w14:schemeClr w14:val="tx1"/>
            </w14:solidFill>
          </w14:textFill>
        </w:rPr>
        <w:t>基金的出资人的收益是</w:t>
      </w:r>
      <w:r>
        <w:rPr>
          <w:rFonts w:ascii="楷体" w:hAnsi="楷体" w:eastAsia="楷体" w:cs="楷体"/>
          <w:b/>
          <w:bCs/>
          <w:color w:val="000000" w:themeColor="text1"/>
          <w:sz w:val="24"/>
          <w:szCs w:val="24"/>
          <w14:textFill>
            <w14:solidFill>
              <w14:schemeClr w14:val="tx1"/>
            </w14:solidFill>
          </w14:textFill>
        </w:rPr>
        <w:t>-469</w:t>
      </w:r>
      <w:r>
        <w:rPr>
          <w:rFonts w:hint="eastAsia" w:ascii="楷体" w:hAnsi="楷体" w:eastAsia="楷体" w:cs="楷体"/>
          <w:b/>
          <w:bCs/>
          <w:color w:val="000000" w:themeColor="text1"/>
          <w:sz w:val="24"/>
          <w:szCs w:val="24"/>
          <w14:textFill>
            <w14:solidFill>
              <w14:schemeClr w14:val="tx1"/>
            </w14:solidFill>
          </w14:textFill>
        </w:rPr>
        <w:t>亿。我们看到前十大基金的出资人亏损要比所有权益类公募基金的出资人的亏损比例更高。前十大公募基金作为行业头部基金。他理论上应该比全行业的收益水平更高。但我们看到的客观事实是，的确前十大基金的基金管理公司的收益确实比行业更多，但是前十大基金的出资人获得的收益却比行业亏损得更多。也就是说行业地位高的基金所带来的基金出资人收益还不如全行业的平均水平。</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pPr>
      <w:r>
        <w:drawing>
          <wp:inline distT="0" distB="0" distL="114300" distR="114300">
            <wp:extent cx="5727065" cy="2477770"/>
            <wp:effectExtent l="0" t="0" r="3175" b="6350"/>
            <wp:docPr id="4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3"/>
                    <pic:cNvPicPr>
                      <a:picLocks noChangeAspect="1"/>
                    </pic:cNvPicPr>
                  </pic:nvPicPr>
                  <pic:blipFill>
                    <a:blip r:embed="rId54"/>
                    <a:stretch>
                      <a:fillRect/>
                    </a:stretch>
                  </pic:blipFill>
                  <pic:spPr>
                    <a:xfrm>
                      <a:off x="0" y="0"/>
                      <a:ext cx="5727065" cy="2477770"/>
                    </a:xfrm>
                    <a:prstGeom prst="rect">
                      <a:avLst/>
                    </a:prstGeom>
                    <a:noFill/>
                    <a:ln>
                      <a:noFill/>
                    </a:ln>
                  </pic:spPr>
                </pic:pic>
              </a:graphicData>
            </a:graphic>
          </wp:inline>
        </w:drawing>
      </w:r>
    </w:p>
    <w:p>
      <w:pPr>
        <w:spacing w:line="500" w:lineRule="exact"/>
        <w:ind w:firstLine="480" w:firstLineChars="200"/>
        <w:jc w:val="both"/>
        <w:rPr>
          <w:rFonts w:hint="eastAsia" w:ascii="楷体" w:hAnsi="楷体" w:eastAsia="楷体"/>
          <w:color w:val="000000" w:themeColor="text1"/>
          <w:sz w:val="24"/>
          <w:szCs w:val="24"/>
          <w14:textFill>
            <w14:solidFill>
              <w14:schemeClr w14:val="tx1"/>
            </w14:solidFill>
          </w14:textFill>
        </w:rPr>
      </w:pPr>
      <w:r>
        <w:rPr>
          <w:rFonts w:hint="eastAsia" w:ascii="楷体" w:hAnsi="楷体" w:eastAsia="楷体"/>
          <w:color w:val="000000" w:themeColor="text1"/>
          <w:sz w:val="24"/>
          <w:szCs w:val="24"/>
          <w14:textFill>
            <w14:solidFill>
              <w14:schemeClr w14:val="tx1"/>
            </w14:solidFill>
          </w14:textFill>
        </w:rPr>
        <w:t>前五主动公募2019年投资者利润率27.28%，2020年投资者利润率30.72%，他们的增幅是低于净值增长率的，这种差异可以从一定程度上看到在这两年随着基金的净值的大幅上涨，带来了过程中的申购。从规模统计中我们可以看到，前五主动公募2020年比2018年增长10.83倍，前十主动公募规模增长4.81倍，主动型公募增长3.22倍，指数型基金增长2.22倍。业绩表现差异使规模增长差异是非常大的。可见市场的力量带来了更多的追高者。往往连续的大涨会透支所投公司的估值，也为未来的萎缩埋下了伏笔。</w:t>
      </w:r>
    </w:p>
    <w:p>
      <w:pPr>
        <w:spacing w:line="500" w:lineRule="exact"/>
        <w:ind w:firstLine="480" w:firstLineChars="200"/>
        <w:jc w:val="both"/>
        <w:rPr>
          <w:rFonts w:ascii="楷体" w:hAnsi="楷体" w:eastAsia="楷体"/>
          <w:color w:val="000000" w:themeColor="text1"/>
          <w:sz w:val="24"/>
          <w:szCs w:val="24"/>
          <w14:textFill>
            <w14:solidFill>
              <w14:schemeClr w14:val="tx1"/>
            </w14:solidFill>
          </w14:textFill>
        </w:rPr>
      </w:pPr>
      <w:r>
        <w:rPr>
          <w:rFonts w:hint="eastAsia" w:ascii="楷体" w:hAnsi="楷体" w:eastAsia="楷体"/>
          <w:color w:val="000000" w:themeColor="text1"/>
          <w:sz w:val="24"/>
          <w:szCs w:val="24"/>
          <w14:textFill>
            <w14:solidFill>
              <w14:schemeClr w14:val="tx1"/>
            </w14:solidFill>
          </w14:textFill>
        </w:rPr>
        <w:t>前五主动公募2022年净利润亏损26.4%，2023年净利润亏损20.39%</w:t>
      </w:r>
      <w:r>
        <w:rPr>
          <w:rFonts w:hint="eastAsia" w:ascii="楷体" w:hAnsi="楷体" w:eastAsia="楷体"/>
          <w:color w:val="000000" w:themeColor="text1"/>
          <w:sz w:val="24"/>
          <w:szCs w:val="24"/>
          <w:lang w:eastAsia="zh"/>
          <w14:textFill>
            <w14:solidFill>
              <w14:schemeClr w14:val="tx1"/>
            </w14:solidFill>
          </w14:textFill>
        </w:rPr>
        <w:t>，</w:t>
      </w:r>
      <w:r>
        <w:rPr>
          <w:rFonts w:hint="eastAsia" w:ascii="楷体" w:hAnsi="楷体" w:eastAsia="楷体"/>
          <w:color w:val="000000" w:themeColor="text1"/>
          <w:sz w:val="24"/>
          <w:szCs w:val="24"/>
          <w14:textFill>
            <w14:solidFill>
              <w14:schemeClr w14:val="tx1"/>
            </w14:solidFill>
          </w14:textFill>
        </w:rPr>
        <w:t>基金投资者的亏损幅度大于他们的净值下跌幅度，这与他们高位规模收缩关系很大。我们可以看到前五主动基金，前十主动基金2023年底的规模只有2021年底的0.6倍左右，而指数基金是1.29倍，还增长了一些。由此可以看出连续的大涨，高位募集在下跌时同样伤害很大。</w:t>
      </w:r>
    </w:p>
    <w:p>
      <w:pPr>
        <w:spacing w:line="500" w:lineRule="exact"/>
        <w:ind w:firstLine="480" w:firstLineChars="200"/>
        <w:jc w:val="both"/>
        <w:rPr>
          <w:rFonts w:ascii="楷体" w:hAnsi="楷体" w:eastAsia="楷体"/>
          <w:color w:val="000000" w:themeColor="text1"/>
          <w:sz w:val="24"/>
          <w:szCs w:val="24"/>
          <w14:textFill>
            <w14:solidFill>
              <w14:schemeClr w14:val="tx1"/>
            </w14:solidFill>
          </w14:textFill>
        </w:rPr>
      </w:pPr>
      <w:r>
        <w:rPr>
          <w:rFonts w:hint="eastAsia" w:ascii="楷体" w:hAnsi="楷体" w:eastAsia="楷体"/>
          <w:color w:val="000000" w:themeColor="text1"/>
          <w:sz w:val="24"/>
          <w:szCs w:val="24"/>
          <w14:textFill>
            <w14:solidFill>
              <w14:schemeClr w14:val="tx1"/>
            </w14:solidFill>
          </w14:textFill>
        </w:rPr>
        <w:t>前十大和前五大的主动型权益基金，特点也是非常突出鲜明。可以清晰明显地看到这样的事实：公募基金在不断地制造“神”一样的假象，创造出“虚假”的高净值以吸引资金进入，扩张自己的规模来获取利润，而与此同时不管出资人的收益，不把客户的利益放在第一位，不仅没有为客户创造应得的收益，反而还让其遭遇了巨大的损失。</w:t>
      </w:r>
    </w:p>
    <w:p>
      <w:pPr>
        <w:keepNext w:val="0"/>
        <w:keepLines w:val="0"/>
        <w:pageBreakBefore w:val="0"/>
        <w:widowControl w:val="0"/>
        <w:kinsoku/>
        <w:wordWrap/>
        <w:overflowPunct/>
        <w:topLinePunct w:val="0"/>
        <w:autoSpaceDE/>
        <w:autoSpaceDN/>
        <w:bidi w:val="0"/>
        <w:adjustRightInd/>
        <w:snapToGrid w:val="0"/>
        <w:spacing w:after="180" w:line="500" w:lineRule="exact"/>
        <w:ind w:firstLine="482" w:firstLineChars="200"/>
        <w:jc w:val="both"/>
        <w:textAlignment w:val="auto"/>
        <w:rPr>
          <w:rFonts w:ascii="楷体" w:hAnsi="楷体" w:eastAsia="楷体"/>
          <w:b/>
          <w:bCs/>
        </w:rPr>
      </w:pPr>
      <w:r>
        <w:rPr>
          <w:rFonts w:hint="eastAsia" w:ascii="楷体" w:hAnsi="楷体" w:eastAsia="楷体"/>
          <w:b/>
          <w:bCs/>
          <w:color w:val="000000" w:themeColor="text1"/>
          <w:sz w:val="24"/>
          <w:szCs w:val="24"/>
          <w14:textFill>
            <w14:solidFill>
              <w14:schemeClr w14:val="tx1"/>
            </w14:solidFill>
          </w14:textFill>
        </w:rPr>
        <w:t>在前十大公募权益类基金和前五大权益类基金之中看到了一个更突出、更明显的“单边实现基金管理人的巨额利益，但基金出资人得到更大损失”的情况。</w:t>
      </w:r>
    </w:p>
    <w:p>
      <w:pPr>
        <w:keepNext w:val="0"/>
        <w:keepLines w:val="0"/>
        <w:pageBreakBefore w:val="0"/>
        <w:widowControl w:val="0"/>
        <w:kinsoku/>
        <w:wordWrap/>
        <w:overflowPunct/>
        <w:topLinePunct w:val="0"/>
        <w:autoSpaceDE/>
        <w:autoSpaceDN/>
        <w:bidi w:val="0"/>
        <w:adjustRightInd w:val="0"/>
        <w:snapToGrid w:val="0"/>
        <w:spacing w:before="180" w:line="360" w:lineRule="auto"/>
        <w:ind w:firstLine="0" w:firstLineChars="0"/>
        <w:jc w:val="both"/>
        <w:textAlignment w:val="auto"/>
        <w:rPr>
          <w:rFonts w:ascii="楷体" w:hAnsi="楷体" w:eastAsia="楷体" w:cs="楷体"/>
          <w:sz w:val="24"/>
          <w:szCs w:val="24"/>
        </w:rPr>
      </w:pPr>
      <w:r>
        <w:drawing>
          <wp:inline distT="0" distB="0" distL="114300" distR="114300">
            <wp:extent cx="5724525" cy="1771650"/>
            <wp:effectExtent l="0" t="0" r="5715" b="1143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5"/>
                    <a:stretch>
                      <a:fillRect/>
                    </a:stretch>
                  </pic:blipFill>
                  <pic:spPr>
                    <a:xfrm>
                      <a:off x="0" y="0"/>
                      <a:ext cx="5724525" cy="1771650"/>
                    </a:xfrm>
                    <a:prstGeom prst="rect">
                      <a:avLst/>
                    </a:prstGeom>
                    <a:noFill/>
                    <a:ln>
                      <a:noFill/>
                    </a:ln>
                  </pic:spPr>
                </pic:pic>
              </a:graphicData>
            </a:graphic>
          </wp:inline>
        </w:drawing>
      </w:r>
      <w:r>
        <w:rPr>
          <w:rFonts w:hint="eastAsia" w:ascii="楷体" w:hAnsi="楷体" w:eastAsia="楷体" w:cs="楷体"/>
          <w:sz w:val="24"/>
          <w:szCs w:val="24"/>
        </w:rPr>
        <w:t>在2018年至2021年的基金净值上升周期里。前十大公募基金的净值涨幅因为高于行业平均，所以基金规模涨幅实现了比行业平均更高的增长，从716亿变成4232亿，增长近6倍。同期管理费从11亿涨到63亿，增长近6倍。另一方面，前十大权益类公募基金的出资人</w:t>
      </w:r>
      <w:r>
        <w:rPr>
          <w:rFonts w:hint="eastAsia" w:ascii="楷体" w:hAnsi="楷体" w:eastAsia="楷体" w:cs="楷体"/>
          <w:sz w:val="24"/>
          <w:szCs w:val="24"/>
          <w:lang w:eastAsia="zh"/>
        </w:rPr>
        <w:t>截至</w:t>
      </w:r>
      <w:r>
        <w:rPr>
          <w:rFonts w:hint="eastAsia" w:ascii="楷体" w:hAnsi="楷体" w:eastAsia="楷体" w:cs="楷体"/>
          <w:sz w:val="24"/>
          <w:szCs w:val="24"/>
        </w:rPr>
        <w:t>2023年底一分钱也没有赚到，合计损失了469亿。</w:t>
      </w:r>
    </w:p>
    <w:p>
      <w:pPr>
        <w:adjustRightInd w:val="0"/>
        <w:spacing w:line="360" w:lineRule="auto"/>
        <w:ind w:firstLine="480" w:firstLineChars="200"/>
        <w:jc w:val="both"/>
        <w:rPr>
          <w:rFonts w:ascii="楷体" w:hAnsi="楷体" w:eastAsia="楷体" w:cs="楷体"/>
          <w:b/>
          <w:bCs/>
          <w:color w:val="000000" w:themeColor="text1"/>
          <w:sz w:val="24"/>
          <w:szCs w:val="24"/>
          <w14:textFill>
            <w14:solidFill>
              <w14:schemeClr w14:val="tx1"/>
            </w14:solidFill>
          </w14:textFill>
        </w:rPr>
      </w:pPr>
      <w:r>
        <w:rPr>
          <w:rFonts w:hint="eastAsia" w:ascii="楷体" w:hAnsi="楷体" w:eastAsia="楷体" w:cs="楷体"/>
          <w:color w:val="000000" w:themeColor="text1"/>
          <w:sz w:val="24"/>
          <w:szCs w:val="24"/>
          <w14:textFill>
            <w14:solidFill>
              <w14:schemeClr w14:val="tx1"/>
            </w14:solidFill>
          </w14:textFill>
        </w:rPr>
        <w:t>我们再看前五大权益类公募基金的2018</w:t>
      </w:r>
      <w:r>
        <w:rPr>
          <w:rFonts w:hint="eastAsia" w:ascii="楷体" w:hAnsi="楷体" w:eastAsia="楷体" w:cs="楷体"/>
          <w:color w:val="000000" w:themeColor="text1"/>
          <w:sz w:val="24"/>
          <w:szCs w:val="24"/>
          <w:lang w:eastAsia="zh"/>
          <w14:textFill>
            <w14:solidFill>
              <w14:schemeClr w14:val="tx1"/>
            </w14:solidFill>
          </w14:textFill>
        </w:rPr>
        <w:t>—</w:t>
      </w:r>
      <w:r>
        <w:rPr>
          <w:rFonts w:hint="eastAsia" w:ascii="楷体" w:hAnsi="楷体" w:eastAsia="楷体" w:cs="楷体"/>
          <w:color w:val="000000" w:themeColor="text1"/>
          <w:sz w:val="24"/>
          <w:szCs w:val="24"/>
          <w14:textFill>
            <w14:solidFill>
              <w14:schemeClr w14:val="tx1"/>
            </w14:solidFill>
          </w14:textFill>
        </w:rPr>
        <w:t>2021年的情况，其净值涨幅也是相对比行业平均和前十大更高一些，凭这一点点优势规模从174亿一口气涨到了2,707亿，涨幅十几倍。五大权益类公募基金的管理费收入也涨了约14倍，从2个多亿涨到38亿。五大公募基金规模飞速壮大后，基金公司管理费收入暴增。</w:t>
      </w:r>
      <w:r>
        <w:rPr>
          <w:rFonts w:hint="eastAsia" w:ascii="楷体" w:hAnsi="楷体" w:eastAsia="楷体" w:cs="楷体"/>
          <w:color w:val="000000" w:themeColor="text1"/>
          <w:sz w:val="24"/>
          <w:szCs w:val="24"/>
          <w:lang w:eastAsia="zh"/>
          <w14:textFill>
            <w14:solidFill>
              <w14:schemeClr w14:val="tx1"/>
            </w14:solidFill>
          </w14:textFill>
        </w:rPr>
        <w:t>截至</w:t>
      </w:r>
      <w:r>
        <w:rPr>
          <w:rFonts w:hint="eastAsia" w:ascii="楷体" w:hAnsi="楷体" w:eastAsia="楷体" w:cs="楷体"/>
          <w:color w:val="000000" w:themeColor="text1"/>
          <w:sz w:val="24"/>
          <w:szCs w:val="24"/>
          <w14:textFill>
            <w14:solidFill>
              <w14:schemeClr w14:val="tx1"/>
            </w14:solidFill>
          </w14:textFill>
        </w:rPr>
        <w:t>2023年底。五大公募基金的出资人损失了540亿。</w:t>
      </w:r>
      <w:r>
        <w:rPr>
          <w:rFonts w:hint="eastAsia" w:ascii="楷体" w:hAnsi="楷体" w:eastAsia="楷体" w:cs="楷体"/>
          <w:b/>
          <w:bCs/>
          <w:color w:val="000000" w:themeColor="text1"/>
          <w:sz w:val="24"/>
          <w:szCs w:val="24"/>
          <w14:textFill>
            <w14:solidFill>
              <w14:schemeClr w14:val="tx1"/>
            </w14:solidFill>
          </w14:textFill>
        </w:rPr>
        <w:t>这就是残酷的真相：越是大规模公募基金，管理人赚</w:t>
      </w:r>
      <w:r>
        <w:rPr>
          <w:rFonts w:hint="eastAsia" w:ascii="楷体" w:hAnsi="楷体" w:eastAsia="楷体" w:cs="楷体"/>
          <w:b/>
          <w:bCs/>
          <w:color w:val="000000" w:themeColor="text1"/>
          <w:sz w:val="24"/>
          <w:szCs w:val="24"/>
          <w:lang w:eastAsia="zh"/>
          <w14:textFill>
            <w14:solidFill>
              <w14:schemeClr w14:val="tx1"/>
            </w14:solidFill>
          </w14:textFill>
        </w:rPr>
        <w:t>得</w:t>
      </w:r>
      <w:r>
        <w:rPr>
          <w:rFonts w:hint="eastAsia" w:ascii="楷体" w:hAnsi="楷体" w:eastAsia="楷体" w:cs="楷体"/>
          <w:b/>
          <w:bCs/>
          <w:color w:val="000000" w:themeColor="text1"/>
          <w:sz w:val="24"/>
          <w:szCs w:val="24"/>
          <w14:textFill>
            <w14:solidFill>
              <w14:schemeClr w14:val="tx1"/>
            </w14:solidFill>
          </w14:textFill>
        </w:rPr>
        <w:t>越多，客户越不挣钱，亏的钱却越多。把2007年至2023年前半年的权益类公募基金出资人收益情况和2018年到2023年6年时间权益类公募基金出资人的收益情况进行对比发现一个客观的情况：</w:t>
      </w:r>
    </w:p>
    <w:p>
      <w:pPr>
        <w:adjustRightInd w:val="0"/>
        <w:spacing w:line="360" w:lineRule="auto"/>
        <w:ind w:firstLine="482" w:firstLineChars="200"/>
        <w:jc w:val="both"/>
        <w:rPr>
          <w:rFonts w:ascii="楷体" w:hAnsi="楷体" w:eastAsia="楷体" w:cs="楷体"/>
          <w:b/>
          <w:bCs/>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“随着基金规模越来越壮大，出资人越来越不挣钱，从获得微弱的利益到形成直接的损失。公募基金壮大导致了基金出资人更悲惨的损失。也就是说公募基金的壮大是建立在出资人损失的基础上。”</w:t>
      </w:r>
    </w:p>
    <w:p>
      <w:pPr>
        <w:adjustRightInd w:val="0"/>
        <w:spacing w:line="360" w:lineRule="auto"/>
        <w:ind w:firstLine="480" w:firstLineChars="200"/>
        <w:jc w:val="both"/>
        <w:rPr>
          <w:rFonts w:ascii="楷体" w:hAnsi="楷体" w:eastAsia="楷体" w:cs="楷体"/>
          <w:color w:val="000000" w:themeColor="text1"/>
          <w:sz w:val="24"/>
          <w:szCs w:val="24"/>
          <w14:textFill>
            <w14:solidFill>
              <w14:schemeClr w14:val="tx1"/>
            </w14:solidFill>
          </w14:textFill>
        </w:rPr>
      </w:pPr>
      <w:r>
        <w:rPr>
          <w:rFonts w:hint="eastAsia" w:ascii="楷体" w:hAnsi="楷体" w:eastAsia="楷体" w:cs="楷体"/>
          <w:color w:val="000000" w:themeColor="text1"/>
          <w:sz w:val="24"/>
          <w:szCs w:val="24"/>
          <w14:textFill>
            <w14:solidFill>
              <w14:schemeClr w14:val="tx1"/>
            </w14:solidFill>
          </w14:textFill>
        </w:rPr>
        <w:t>而这就是中国股市在2018年</w:t>
      </w:r>
      <w:r>
        <w:rPr>
          <w:rFonts w:hint="eastAsia" w:ascii="楷体" w:hAnsi="楷体" w:eastAsia="楷体" w:cs="楷体"/>
          <w:color w:val="000000" w:themeColor="text1"/>
          <w:sz w:val="24"/>
          <w:szCs w:val="24"/>
          <w:lang w:eastAsia="zh"/>
          <w14:textFill>
            <w14:solidFill>
              <w14:schemeClr w14:val="tx1"/>
            </w14:solidFill>
          </w14:textFill>
        </w:rPr>
        <w:t>—</w:t>
      </w:r>
      <w:r>
        <w:rPr>
          <w:rFonts w:hint="eastAsia" w:ascii="楷体" w:hAnsi="楷体" w:eastAsia="楷体" w:cs="楷体"/>
          <w:color w:val="000000" w:themeColor="text1"/>
          <w:sz w:val="24"/>
          <w:szCs w:val="24"/>
          <w14:textFill>
            <w14:solidFill>
              <w14:schemeClr w14:val="tx1"/>
            </w14:solidFill>
          </w14:textFill>
        </w:rPr>
        <w:t>2023年一直起起伏伏，最终在2024年春节前走向了全面的崩溃。事实证明：</w:t>
      </w:r>
    </w:p>
    <w:p>
      <w:pPr>
        <w:adjustRightInd w:val="0"/>
        <w:spacing w:line="360" w:lineRule="auto"/>
        <w:ind w:firstLine="482" w:firstLineChars="200"/>
        <w:jc w:val="both"/>
        <w:rPr>
          <w:rFonts w:ascii="楷体" w:hAnsi="楷体" w:eastAsia="楷体" w:cs="楷体"/>
          <w:b/>
          <w:bCs/>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在公募基金大规模扩张壮大、获得巨额利益的同时，权益类公募基金的客户和他所依托的市场都遭遇了巨大的损失和危机。</w:t>
      </w:r>
    </w:p>
    <w:p>
      <w:pPr>
        <w:keepNext w:val="0"/>
        <w:keepLines w:val="0"/>
        <w:pageBreakBefore w:val="0"/>
        <w:widowControl w:val="0"/>
        <w:kinsoku/>
        <w:wordWrap/>
        <w:overflowPunct/>
        <w:topLinePunct w:val="0"/>
        <w:autoSpaceDE/>
        <w:autoSpaceDN/>
        <w:bidi w:val="0"/>
        <w:adjustRightInd/>
        <w:snapToGrid w:val="0"/>
        <w:spacing w:after="180" w:line="500" w:lineRule="exact"/>
        <w:ind w:firstLine="480" w:firstLineChars="200"/>
        <w:jc w:val="both"/>
        <w:textAlignment w:val="auto"/>
        <w:rPr>
          <w:rFonts w:ascii="楷体" w:hAnsi="楷体" w:eastAsia="楷体"/>
        </w:rPr>
      </w:pPr>
      <w:r>
        <w:rPr>
          <w:rFonts w:hint="eastAsia" w:ascii="楷体" w:hAnsi="楷体" w:eastAsia="楷体"/>
          <w:color w:val="000000" w:themeColor="text1"/>
          <w:sz w:val="24"/>
          <w:szCs w:val="24"/>
          <w14:textFill>
            <w14:solidFill>
              <w14:schemeClr w14:val="tx1"/>
            </w14:solidFill>
          </w14:textFill>
        </w:rPr>
        <w:t>同样地，我们还统计了被动指数型基金的整体、前十大和前五大的2018年到2023年的数据，</w:t>
      </w:r>
      <w:r>
        <w:rPr>
          <w:rFonts w:hint="eastAsia" w:ascii="楷体" w:hAnsi="楷体" w:eastAsia="楷体"/>
          <w:color w:val="000000" w:themeColor="text1"/>
          <w:sz w:val="24"/>
          <w:szCs w:val="24"/>
          <w:lang w:eastAsia="zh"/>
          <w14:textFill>
            <w14:solidFill>
              <w14:schemeClr w14:val="tx1"/>
            </w14:solidFill>
          </w14:textFill>
        </w:rPr>
        <w:t>也</w:t>
      </w:r>
      <w:r>
        <w:rPr>
          <w:rFonts w:hint="eastAsia" w:ascii="楷体" w:hAnsi="楷体" w:eastAsia="楷体"/>
          <w:color w:val="000000" w:themeColor="text1"/>
          <w:sz w:val="24"/>
          <w:szCs w:val="24"/>
          <w14:textFill>
            <w14:solidFill>
              <w14:schemeClr w14:val="tx1"/>
            </w14:solidFill>
          </w14:textFill>
        </w:rPr>
        <w:t>列出了过去6年基金规模、管理费、净值增长率、净利润等关键指标。</w:t>
      </w:r>
    </w:p>
    <w:p>
      <w:pPr>
        <w:keepNext w:val="0"/>
        <w:keepLines w:val="0"/>
        <w:pageBreakBefore w:val="0"/>
        <w:widowControl w:val="0"/>
        <w:kinsoku/>
        <w:wordWrap/>
        <w:overflowPunct/>
        <w:topLinePunct w:val="0"/>
        <w:autoSpaceDE/>
        <w:autoSpaceDN/>
        <w:bidi w:val="0"/>
        <w:adjustRightInd/>
        <w:snapToGrid w:val="0"/>
        <w:spacing w:before="180" w:line="360" w:lineRule="auto"/>
        <w:ind w:firstLine="0" w:firstLineChars="0"/>
        <w:textAlignment w:val="auto"/>
        <w:rPr>
          <w:rFonts w:ascii="楷体" w:hAnsi="楷体" w:eastAsia="楷体"/>
          <w:sz w:val="24"/>
          <w:szCs w:val="24"/>
        </w:rPr>
      </w:pPr>
      <w:r>
        <w:drawing>
          <wp:inline distT="0" distB="0" distL="114300" distR="114300">
            <wp:extent cx="5729605" cy="2408555"/>
            <wp:effectExtent l="0" t="0" r="635" b="14605"/>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56"/>
                    <a:stretch>
                      <a:fillRect/>
                    </a:stretch>
                  </pic:blipFill>
                  <pic:spPr>
                    <a:xfrm>
                      <a:off x="0" y="0"/>
                      <a:ext cx="5729605" cy="2408555"/>
                    </a:xfrm>
                    <a:prstGeom prst="rect">
                      <a:avLst/>
                    </a:prstGeom>
                    <a:noFill/>
                    <a:ln>
                      <a:noFill/>
                    </a:ln>
                  </pic:spPr>
                </pic:pic>
              </a:graphicData>
            </a:graphic>
          </wp:inline>
        </w:drawing>
      </w:r>
      <w:r>
        <w:rPr>
          <w:rFonts w:hint="eastAsia" w:ascii="楷体" w:hAnsi="楷体" w:eastAsia="楷体"/>
          <w:sz w:val="24"/>
          <w:szCs w:val="24"/>
        </w:rPr>
        <w:t>可以看到被动指数基金的管理费率要明显低于主动权益类基金。2018-2021这期间的净值涨幅不如权益类，但也达到了44%，吸引了大量资金进入，让基金规模从六千亿翻了近三倍，基金公司收取的管理费也是涨了两倍多，所有指数型基金公司在这六年间共收取了近四百亿的管理费。这六年间出资人所获得的累计利润为-1,886亿，亏损的金额甚至是管理费的四倍多，年化利润率为-3.06%。</w:t>
      </w:r>
    </w:p>
    <w:p>
      <w:pPr>
        <w:keepNext w:val="0"/>
        <w:keepLines w:val="0"/>
        <w:pageBreakBefore w:val="0"/>
        <w:kinsoku/>
        <w:wordWrap/>
        <w:overflowPunct/>
        <w:topLinePunct w:val="0"/>
        <w:autoSpaceDE/>
        <w:autoSpaceDN/>
        <w:bidi w:val="0"/>
        <w:adjustRightInd/>
        <w:spacing w:after="0" w:line="240" w:lineRule="auto"/>
        <w:jc w:val="right"/>
        <w:rPr>
          <w:rFonts w:hint="eastAsia"/>
        </w:rPr>
      </w:pPr>
      <w:r>
        <w:drawing>
          <wp:inline distT="0" distB="0" distL="114300" distR="114300">
            <wp:extent cx="5725795" cy="2445385"/>
            <wp:effectExtent l="0" t="0" r="4445" b="8255"/>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57"/>
                    <a:stretch>
                      <a:fillRect/>
                    </a:stretch>
                  </pic:blipFill>
                  <pic:spPr>
                    <a:xfrm>
                      <a:off x="0" y="0"/>
                      <a:ext cx="5725795" cy="2445385"/>
                    </a:xfrm>
                    <a:prstGeom prst="rect">
                      <a:avLst/>
                    </a:prstGeom>
                    <a:noFill/>
                    <a:ln>
                      <a:noFill/>
                    </a:ln>
                  </pic:spPr>
                </pic:pic>
              </a:graphicData>
            </a:graphic>
          </wp:inline>
        </w:drawing>
      </w:r>
      <w:r>
        <w:drawing>
          <wp:inline distT="0" distB="0" distL="114300" distR="114300">
            <wp:extent cx="5725795" cy="3359150"/>
            <wp:effectExtent l="0" t="0" r="4445" b="8890"/>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58"/>
                    <a:stretch>
                      <a:fillRect/>
                    </a:stretch>
                  </pic:blipFill>
                  <pic:spPr>
                    <a:xfrm>
                      <a:off x="0" y="0"/>
                      <a:ext cx="5725795" cy="33591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both"/>
        <w:textAlignment w:val="auto"/>
        <w:rPr>
          <w:rFonts w:hint="eastAsia" w:ascii="楷体" w:hAnsi="楷体" w:eastAsia="楷体"/>
          <w:sz w:val="24"/>
          <w:szCs w:val="24"/>
        </w:rPr>
      </w:pPr>
      <w:r>
        <w:rPr>
          <w:rFonts w:hint="eastAsia" w:ascii="楷体" w:hAnsi="楷体" w:eastAsia="楷体"/>
          <w:sz w:val="24"/>
          <w:szCs w:val="24"/>
        </w:rPr>
        <w:t>接着我们再把各项指标分别统计，对比各项指标下权益类基金和指数型基金的表现：</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楷体" w:hAnsi="楷体" w:eastAsia="楷体"/>
          <w:sz w:val="24"/>
          <w:szCs w:val="24"/>
        </w:rPr>
      </w:pPr>
      <w:r>
        <w:drawing>
          <wp:inline distT="0" distB="0" distL="114300" distR="114300">
            <wp:extent cx="5725160" cy="4481830"/>
            <wp:effectExtent l="0" t="0" r="5080" b="13970"/>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1"/>
                    </pic:cNvPicPr>
                  </pic:nvPicPr>
                  <pic:blipFill>
                    <a:blip r:embed="rId59"/>
                    <a:stretch>
                      <a:fillRect/>
                    </a:stretch>
                  </pic:blipFill>
                  <pic:spPr>
                    <a:xfrm>
                      <a:off x="0" y="0"/>
                      <a:ext cx="5725160" cy="44818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bidi w:val="0"/>
        <w:adjustRightInd/>
        <w:snapToGrid w:val="0"/>
        <w:spacing w:after="0" w:afterLines="50" w:line="360" w:lineRule="auto"/>
        <w:ind w:firstLine="480" w:firstLineChars="200"/>
        <w:jc w:val="both"/>
        <w:textAlignment w:val="auto"/>
        <w:rPr>
          <w:rFonts w:hint="eastAsia" w:ascii="楷体" w:hAnsi="楷体" w:eastAsia="楷体"/>
          <w:sz w:val="24"/>
          <w:szCs w:val="24"/>
        </w:rPr>
      </w:pPr>
      <w:r>
        <w:rPr>
          <w:rFonts w:hint="eastAsia" w:ascii="楷体" w:hAnsi="楷体" w:eastAsia="楷体"/>
          <w:sz w:val="24"/>
          <w:szCs w:val="24"/>
        </w:rPr>
        <w:t>首先可以看到在净值增长率和基金规模上，权益类基金的表现效果都要较指数型基金更强烈，前十家和前五家的净值增长率都是指数型基金的十倍以上，且在规模上两类基金也是相差两倍多，而权益类基金规模的增速要明显高于指数型基金。因为权益类基金相对策略会更激进一些，主动选择股票比被动跟随指数更</w:t>
      </w:r>
      <w:r>
        <w:rPr>
          <w:rFonts w:hint="eastAsia" w:ascii="楷体" w:hAnsi="楷体" w:eastAsia="楷体"/>
          <w:sz w:val="24"/>
          <w:szCs w:val="24"/>
          <w:lang w:eastAsia="zh"/>
        </w:rPr>
        <w:t>容易</w:t>
      </w:r>
      <w:r>
        <w:rPr>
          <w:rFonts w:hint="eastAsia" w:ascii="楷体" w:hAnsi="楷体" w:eastAsia="楷体"/>
          <w:sz w:val="24"/>
          <w:szCs w:val="24"/>
        </w:rPr>
        <w:t>让基金公司做出“神话”的效果，更能用更加“漂亮”的净值上涨来吸引更多资金的进入。但这样更加疯狂的操作带来的反作用的结果也是更强烈的，在2021年的泡沫逐渐破裂以后，权益类基金的规模大幅缩减近一半，出资人也都纷纷逃离，而指数型基金虽然净值在下降但规模仍在增加，可能是多数人在仍然选择投资基金的时候改变了投资策略，大家都更倾向于选择更加保守被动型的基金了，于是纷纷从权益基金离开，加入指数型基金。</w:t>
      </w:r>
    </w:p>
    <w:p>
      <w:pPr>
        <w:keepNext w:val="0"/>
        <w:keepLines w:val="0"/>
        <w:pageBreakBefore w:val="0"/>
        <w:widowControl w:val="0"/>
        <w:kinsoku/>
        <w:wordWrap/>
        <w:overflowPunct/>
        <w:topLinePunct w:val="0"/>
        <w:autoSpaceDE w:val="0"/>
        <w:autoSpaceDN/>
        <w:bidi w:val="0"/>
        <w:adjustRightInd/>
        <w:snapToGrid w:val="0"/>
        <w:spacing w:after="0" w:afterLines="50" w:line="360" w:lineRule="auto"/>
        <w:ind w:firstLine="0" w:firstLineChars="0"/>
        <w:jc w:val="both"/>
        <w:textAlignment w:val="auto"/>
        <w:rPr>
          <w:rFonts w:hint="eastAsia" w:ascii="楷体" w:hAnsi="楷体" w:eastAsia="楷体"/>
          <w:sz w:val="24"/>
          <w:szCs w:val="24"/>
        </w:rPr>
      </w:pPr>
      <w:r>
        <w:drawing>
          <wp:inline distT="0" distB="0" distL="114300" distR="114300">
            <wp:extent cx="5725160" cy="4608195"/>
            <wp:effectExtent l="0" t="0" r="5080" b="9525"/>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60"/>
                    <a:stretch>
                      <a:fillRect/>
                    </a:stretch>
                  </pic:blipFill>
                  <pic:spPr>
                    <a:xfrm>
                      <a:off x="0" y="0"/>
                      <a:ext cx="5725160" cy="46081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bidi w:val="0"/>
        <w:adjustRightInd/>
        <w:snapToGrid w:val="0"/>
        <w:spacing w:after="0" w:afterLines="50" w:line="360" w:lineRule="auto"/>
        <w:ind w:firstLine="480" w:firstLineChars="200"/>
        <w:jc w:val="both"/>
        <w:textAlignment w:val="auto"/>
        <w:rPr>
          <w:rFonts w:hint="eastAsia" w:ascii="楷体" w:hAnsi="楷体" w:eastAsia="楷体"/>
          <w:sz w:val="24"/>
          <w:szCs w:val="24"/>
        </w:rPr>
      </w:pPr>
      <w:r>
        <w:rPr>
          <w:rFonts w:hint="eastAsia" w:ascii="楷体" w:hAnsi="楷体" w:eastAsia="楷体"/>
          <w:sz w:val="24"/>
          <w:szCs w:val="24"/>
        </w:rPr>
        <w:t>同时还观察到一点，就是前十名和前五名的被动指数型基金的规模都超过了权益类基金，指数型基金的规模更加集中，可以看到前十大被动指数基金的规模就占到了所有指数基金的四分之一，而前五大就占到了六分之一的比重，但是被动性基金整体的表现比较平均，这些更大规模的指数型基金没有对整体特征产生严重影响。而权益类基金的前十大和前五大则不然，虽然他们在整个权益类基金中的占比不高，但一如前面我们看到的那样，权益类基金的规模越大他们对出资人造成伤害越大，全部整体的年化平均利润-4.46%，而前十大达到-6.09%，前五大则是-5.63%，呈现更多的亏损，也就是少数人收割了多数人的巨额财富，为了少数人的利益而伤害了多数人。</w:t>
      </w:r>
    </w:p>
    <w:p>
      <w:pPr>
        <w:keepNext w:val="0"/>
        <w:keepLines w:val="0"/>
        <w:pageBreakBefore w:val="0"/>
        <w:widowControl w:val="0"/>
        <w:kinsoku/>
        <w:wordWrap/>
        <w:overflowPunct/>
        <w:topLinePunct w:val="0"/>
        <w:autoSpaceDE w:val="0"/>
        <w:autoSpaceDN/>
        <w:bidi w:val="0"/>
        <w:adjustRightInd/>
        <w:snapToGrid w:val="0"/>
        <w:spacing w:after="0" w:afterLines="50" w:line="360" w:lineRule="auto"/>
        <w:ind w:firstLine="0" w:firstLineChars="0"/>
        <w:jc w:val="both"/>
        <w:textAlignment w:val="auto"/>
        <w:rPr>
          <w:rFonts w:hint="eastAsia" w:ascii="楷体" w:hAnsi="楷体" w:eastAsia="楷体"/>
          <w:sz w:val="24"/>
          <w:szCs w:val="24"/>
        </w:rPr>
      </w:pPr>
      <w:r>
        <w:drawing>
          <wp:inline distT="0" distB="0" distL="114300" distR="114300">
            <wp:extent cx="5730240" cy="4716780"/>
            <wp:effectExtent l="0" t="0" r="0" b="7620"/>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61"/>
                    <a:stretch>
                      <a:fillRect/>
                    </a:stretch>
                  </pic:blipFill>
                  <pic:spPr>
                    <a:xfrm>
                      <a:off x="0" y="0"/>
                      <a:ext cx="5730240" cy="4716780"/>
                    </a:xfrm>
                    <a:prstGeom prst="rect">
                      <a:avLst/>
                    </a:prstGeom>
                    <a:noFill/>
                    <a:ln>
                      <a:noFill/>
                    </a:ln>
                  </pic:spPr>
                </pic:pic>
              </a:graphicData>
            </a:graphic>
          </wp:inline>
        </w:drawing>
      </w:r>
    </w:p>
    <w:p>
      <w:pPr>
        <w:autoSpaceDE w:val="0"/>
        <w:spacing w:line="500" w:lineRule="exact"/>
        <w:ind w:firstLine="480" w:firstLineChars="200"/>
        <w:jc w:val="both"/>
        <w:rPr>
          <w:rFonts w:ascii="楷体" w:hAnsi="楷体" w:eastAsia="楷体"/>
          <w:sz w:val="24"/>
          <w:szCs w:val="24"/>
        </w:rPr>
      </w:pPr>
      <w:r>
        <w:rPr>
          <w:rFonts w:hint="eastAsia" w:ascii="楷体" w:hAnsi="楷体" w:eastAsia="楷体"/>
          <w:sz w:val="24"/>
          <w:szCs w:val="24"/>
        </w:rPr>
        <w:t>再来对比基金公司的收入和出资人的收益，权益基金从客户那拿走的管理费相当巨大，是所有指数型基金的近十倍，而总计的亏损也是超过指数型基金的总亏损的，选择权益类基金的出资人等于是花了1块钱的管理成本让基金经理管理财产换来了7毛钱的亏损。</w:t>
      </w:r>
    </w:p>
    <w:p>
      <w:pPr>
        <w:autoSpaceDE w:val="0"/>
        <w:spacing w:line="500" w:lineRule="exact"/>
        <w:ind w:firstLine="480" w:firstLineChars="200"/>
        <w:jc w:val="both"/>
        <w:rPr>
          <w:rFonts w:hint="eastAsia" w:ascii="楷体" w:hAnsi="楷体" w:eastAsia="楷体"/>
        </w:rPr>
      </w:pPr>
      <w:r>
        <w:rPr>
          <w:rFonts w:hint="eastAsia" w:ascii="楷体" w:hAnsi="楷体" w:eastAsia="楷体"/>
          <w:sz w:val="24"/>
          <w:szCs w:val="24"/>
        </w:rPr>
        <w:t>权益类基金，用天花乱坠让客户眼花缭乱的说辞和手段，但改变不了他们没有为客户赚到一分钱还让客户承受巨额损失，而他们自己单方面获利的事实。他们就是用6年的时间收割了一波韭菜，这些基金出资人一旦被“假象”吸引，就会被牢牢地套在里面，成为待宰的羔羊，同时还把整个投资环境、整个中国股市</w:t>
      </w:r>
      <w:r>
        <w:rPr>
          <w:rFonts w:hint="eastAsia" w:ascii="楷体" w:hAnsi="楷体" w:eastAsia="楷体"/>
          <w:sz w:val="24"/>
          <w:szCs w:val="24"/>
          <w:lang w:eastAsia="zh"/>
        </w:rPr>
        <w:t>搞得</w:t>
      </w:r>
      <w:r>
        <w:rPr>
          <w:rFonts w:hint="eastAsia" w:ascii="楷体" w:hAnsi="楷体" w:eastAsia="楷体"/>
          <w:sz w:val="24"/>
          <w:szCs w:val="24"/>
        </w:rPr>
        <w:t>乌烟瘴气、伤痕累累，他们成功地实现了损害市场健康、毁灭大众财富、危害社会稳定、只有他们自己获利的局面。</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420" w:leftChars="0" w:hanging="420" w:firstLineChars="0"/>
        <w:textAlignment w:val="auto"/>
        <w:rPr>
          <w:rFonts w:hint="eastAsia" w:ascii="楷体" w:hAnsi="楷体" w:eastAsia="楷体" w:cs="楷体"/>
          <w:b/>
          <w:bCs/>
          <w:sz w:val="28"/>
          <w:szCs w:val="32"/>
        </w:rPr>
      </w:pPr>
      <w:r>
        <w:rPr>
          <w:rFonts w:hint="eastAsia" w:ascii="楷体" w:hAnsi="楷体" w:eastAsia="楷体" w:cs="楷体"/>
          <w:b/>
          <w:bCs/>
          <w:sz w:val="28"/>
          <w:szCs w:val="32"/>
        </w:rPr>
        <w:t>公募基金行为中的一些普遍现象和规律：</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420" w:leftChars="0" w:hanging="210" w:firstLineChars="0"/>
        <w:textAlignment w:val="auto"/>
        <w:rPr>
          <w:rFonts w:hint="eastAsia" w:ascii="楷体" w:hAnsi="楷体" w:eastAsia="楷体" w:cs="楷体"/>
          <w:sz w:val="24"/>
          <w:szCs w:val="24"/>
        </w:rPr>
      </w:pPr>
      <w:r>
        <w:rPr>
          <w:rFonts w:hint="eastAsia" w:ascii="楷体" w:hAnsi="楷体" w:eastAsia="楷体" w:cs="楷体"/>
          <w:sz w:val="24"/>
          <w:szCs w:val="24"/>
        </w:rPr>
        <w:t>制造一个罕见的超正常的高收益。</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420" w:leftChars="0" w:hanging="210" w:firstLineChars="0"/>
        <w:textAlignment w:val="auto"/>
        <w:rPr>
          <w:rFonts w:hint="eastAsia" w:ascii="楷体" w:hAnsi="楷体" w:eastAsia="楷体" w:cs="楷体"/>
          <w:sz w:val="24"/>
          <w:szCs w:val="24"/>
        </w:rPr>
      </w:pPr>
      <w:r>
        <w:rPr>
          <w:rFonts w:hint="eastAsia" w:ascii="楷体" w:hAnsi="楷体" w:eastAsia="楷体" w:cs="楷体"/>
          <w:sz w:val="24"/>
          <w:szCs w:val="24"/>
        </w:rPr>
        <w:t>极高的超正常收益刺激、吸引社会大众将钱快速地投入公募基金，使得公募基金规模壮大。</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420" w:leftChars="0" w:hanging="210" w:firstLineChars="0"/>
        <w:textAlignment w:val="auto"/>
        <w:rPr>
          <w:rFonts w:hint="eastAsia" w:ascii="楷体" w:hAnsi="楷体" w:eastAsia="楷体" w:cs="楷体"/>
          <w:sz w:val="24"/>
          <w:szCs w:val="24"/>
        </w:rPr>
      </w:pPr>
      <w:r>
        <w:rPr>
          <w:rFonts w:hint="eastAsia" w:ascii="楷体" w:hAnsi="楷体" w:eastAsia="楷体" w:cs="楷体"/>
          <w:sz w:val="24"/>
          <w:szCs w:val="24"/>
        </w:rPr>
        <w:t>被吸引来投入公募基金的资金，基金管理人会无条件</w:t>
      </w:r>
      <w:r>
        <w:rPr>
          <w:rFonts w:hint="eastAsia" w:ascii="楷体" w:hAnsi="楷体" w:eastAsia="楷体" w:cs="楷体"/>
          <w:sz w:val="24"/>
          <w:szCs w:val="24"/>
          <w:lang w:eastAsia="zh"/>
        </w:rPr>
        <w:t>地</w:t>
      </w:r>
      <w:r>
        <w:rPr>
          <w:rFonts w:hint="eastAsia" w:ascii="楷体" w:hAnsi="楷体" w:eastAsia="楷体" w:cs="楷体"/>
          <w:sz w:val="24"/>
          <w:szCs w:val="24"/>
        </w:rPr>
        <w:t>用于买入自己原有重仓股，从而推动重仓股继续上涨。重仓股的上涨又推动了净值的明显上涨，净值的明显上涨再次刺激社会大众，吸引社会大众将更多的钱投入公募基金，如此反复循环。不断循环的这一过程，导致公募基金重仓股的估值进入无法想象的高估值高泡沫。</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420" w:leftChars="0" w:hanging="210" w:firstLineChars="0"/>
        <w:textAlignment w:val="auto"/>
        <w:rPr>
          <w:rFonts w:hint="eastAsia" w:ascii="楷体" w:hAnsi="楷体" w:eastAsia="楷体" w:cs="楷体"/>
          <w:sz w:val="24"/>
          <w:szCs w:val="24"/>
        </w:rPr>
      </w:pPr>
      <w:r>
        <w:rPr>
          <w:rFonts w:hint="eastAsia" w:ascii="楷体" w:hAnsi="楷体" w:eastAsia="楷体" w:cs="楷体"/>
          <w:sz w:val="24"/>
          <w:szCs w:val="24"/>
        </w:rPr>
        <w:t>以上机制不断</w:t>
      </w:r>
      <w:r>
        <w:rPr>
          <w:rFonts w:hint="eastAsia" w:ascii="楷体" w:hAnsi="楷体" w:eastAsia="楷体" w:cs="楷体"/>
          <w:sz w:val="24"/>
          <w:szCs w:val="24"/>
          <w:lang w:eastAsia="zh"/>
        </w:rPr>
        <w:t>地</w:t>
      </w:r>
      <w:r>
        <w:rPr>
          <w:rFonts w:hint="eastAsia" w:ascii="楷体" w:hAnsi="楷体" w:eastAsia="楷体" w:cs="楷体"/>
          <w:sz w:val="24"/>
          <w:szCs w:val="24"/>
        </w:rPr>
        <w:t>循环一段时间后，基金重仓股已经到了无以复加的高危估值状态，超高估值超高泡沫因为违反价值规律，在价值规律作用下，必然出现崩塌和下跌。</w:t>
      </w:r>
    </w:p>
    <w:p>
      <w:pPr>
        <w:adjustRightInd w:val="0"/>
        <w:spacing w:line="360" w:lineRule="auto"/>
        <w:ind w:firstLine="482" w:firstLineChars="200"/>
        <w:jc w:val="both"/>
        <w:rPr>
          <w:rFonts w:ascii="楷体" w:hAnsi="楷体" w:eastAsia="楷体" w:cs="楷体"/>
          <w:b/>
          <w:bCs/>
          <w:sz w:val="24"/>
          <w:szCs w:val="24"/>
        </w:rPr>
      </w:pPr>
      <w:r>
        <w:rPr>
          <w:rFonts w:hint="eastAsia" w:ascii="楷体" w:hAnsi="楷体" w:eastAsia="楷体" w:cs="楷体"/>
          <w:b/>
          <w:bCs/>
          <w:sz w:val="24"/>
          <w:szCs w:val="24"/>
        </w:rPr>
        <w:t>由于公募基金已经成为中国股市体量最大的机构投资者，所以公募基金重仓股在必然的崩塌和下跌过程中，一方面造成了基金出资人严重损失，另一方面带崩中国股市出现危机！但是整个过程基金的管理者却挣得盆满钵满。</w:t>
      </w:r>
    </w:p>
    <w:p>
      <w:pPr>
        <w:adjustRightInd w:val="0"/>
        <w:spacing w:line="360" w:lineRule="auto"/>
        <w:ind w:firstLine="480" w:firstLineChars="200"/>
        <w:jc w:val="both"/>
        <w:rPr>
          <w:rFonts w:ascii="楷体" w:hAnsi="楷体" w:eastAsia="楷体" w:cs="楷体"/>
          <w:b/>
          <w:bCs/>
          <w:sz w:val="24"/>
          <w:szCs w:val="24"/>
        </w:rPr>
      </w:pPr>
      <w:r>
        <w:rPr>
          <w:rFonts w:hint="eastAsia" w:ascii="楷体" w:hAnsi="楷体" w:eastAsia="楷体" w:cs="楷体"/>
          <w:sz w:val="24"/>
          <w:szCs w:val="24"/>
        </w:rPr>
        <w:t>我在前文追问了一个问题，为什么中国股市有那么多市盈率低于5倍的低估值优质蓝筹股，公募基金就是视而不见，就是不买入？因为要想让越来越多的大众资金投入基金，基金净值必须持续上涨。如果按照理性的原则看到自己的重仓股已经出现了泡沫，停止继续拉升已经处于泡沫中的重仓股，转而按照理性的价值投资原则去买入低估的股票，那么在投资方向转向的过程中，净值上涨就停止了，净值上涨停止就失去了刺激大众发财梦想和贪欲的工具，从而大众资金快速涌入基金的进程就会终止。</w:t>
      </w:r>
      <w:r>
        <w:rPr>
          <w:rFonts w:hint="eastAsia" w:ascii="楷体" w:hAnsi="楷体" w:eastAsia="楷体" w:cs="楷体"/>
          <w:b/>
          <w:bCs/>
          <w:sz w:val="24"/>
          <w:szCs w:val="24"/>
        </w:rPr>
        <w:t>在这种情况下公募基金做出了利己性选择，公募基金用社会大众的钱先推动重仓股的股价上涨，带动基金净值的增长，基金净值的增长被广泛传播之后，迎合了社会大众渴望赚钱的欲望，社会大众就会把自己的钱投入到这个基金。拿到大众涌入的钱后，公募基金公司会无条件的、</w:t>
      </w:r>
      <w:r>
        <w:rPr>
          <w:rFonts w:hint="eastAsia" w:ascii="楷体" w:hAnsi="楷体" w:eastAsia="楷体" w:cs="楷体"/>
          <w:b/>
          <w:bCs/>
          <w:sz w:val="24"/>
          <w:szCs w:val="24"/>
          <w:lang w:eastAsia="zh"/>
        </w:rPr>
        <w:t>不假思索</w:t>
      </w:r>
      <w:r>
        <w:rPr>
          <w:rFonts w:hint="eastAsia" w:ascii="楷体" w:hAnsi="楷体" w:eastAsia="楷体" w:cs="楷体"/>
          <w:b/>
          <w:bCs/>
          <w:sz w:val="24"/>
          <w:szCs w:val="24"/>
        </w:rPr>
        <w:t>的、再次买入重仓股票，哪怕这个重仓股票本身已经超越了合理估值，处于泡沫中，他们仍旧要买入自己的重仓股，基金净值就会再次更快</w:t>
      </w:r>
      <w:r>
        <w:rPr>
          <w:rFonts w:hint="eastAsia" w:ascii="楷体" w:hAnsi="楷体" w:eastAsia="楷体" w:cs="楷体"/>
          <w:b/>
          <w:bCs/>
          <w:sz w:val="24"/>
          <w:szCs w:val="24"/>
          <w:lang w:eastAsia="zh"/>
        </w:rPr>
        <w:t>地</w:t>
      </w:r>
      <w:r>
        <w:rPr>
          <w:rFonts w:hint="eastAsia" w:ascii="楷体" w:hAnsi="楷体" w:eastAsia="楷体" w:cs="楷体"/>
          <w:b/>
          <w:bCs/>
          <w:sz w:val="24"/>
          <w:szCs w:val="24"/>
        </w:rPr>
        <w:t>上涨。更快的净值上涨，就可以吸引更多大众资金。为此他们持续推动重仓股上涨到高风险泡沫区也不转向，也不停手，用制造重仓股泡沫式上涨制造更大幅的净值上涨。净值上涨得越快越猛，对大众的刺激就越强烈，大众就会把更多的钱交给基金。</w:t>
      </w:r>
    </w:p>
    <w:p>
      <w:pPr>
        <w:adjustRightInd w:val="0"/>
        <w:spacing w:line="360" w:lineRule="auto"/>
        <w:ind w:firstLine="482" w:firstLineChars="200"/>
        <w:jc w:val="both"/>
        <w:rPr>
          <w:rFonts w:ascii="楷体" w:hAnsi="楷体" w:eastAsia="楷体" w:cs="楷体"/>
          <w:sz w:val="24"/>
          <w:szCs w:val="24"/>
        </w:rPr>
      </w:pPr>
      <w:r>
        <w:rPr>
          <w:rFonts w:hint="eastAsia" w:ascii="楷体" w:hAnsi="楷体" w:eastAsia="楷体" w:cs="楷体"/>
          <w:b/>
          <w:bCs/>
          <w:sz w:val="24"/>
          <w:szCs w:val="24"/>
        </w:rPr>
        <w:t>所以他们就会完全无视泡沫，也就完全不会看那真实的巨大的低估值投资机会。从而在中国资本市场就出现了真正的大盘蓝筹股，高分红低估值机会非常巨大、社会经济地位非常重要的优质股票，长期在破产价无人问津。</w:t>
      </w:r>
    </w:p>
    <w:p>
      <w:pPr>
        <w:adjustRightInd w:val="0"/>
        <w:spacing w:line="360" w:lineRule="auto"/>
        <w:ind w:firstLine="480" w:firstLineChars="200"/>
        <w:jc w:val="both"/>
        <w:rPr>
          <w:rFonts w:ascii="楷体" w:hAnsi="楷体" w:eastAsia="楷体" w:cs="楷体"/>
          <w:b/>
          <w:bCs/>
          <w:sz w:val="24"/>
          <w:szCs w:val="24"/>
        </w:rPr>
      </w:pPr>
      <w:r>
        <w:rPr>
          <w:rFonts w:hint="eastAsia" w:ascii="楷体" w:hAnsi="楷体" w:eastAsia="楷体" w:cs="楷体"/>
          <w:sz w:val="24"/>
          <w:szCs w:val="24"/>
        </w:rPr>
        <w:t>那些基金经理不可能不知道把客户的钱买入那么高估值的股票会最终让客户的钱血本无归。真相是他们的利益需要制造泡沫，从而在泡沫连续不断</w:t>
      </w:r>
      <w:r>
        <w:rPr>
          <w:rFonts w:hint="eastAsia" w:ascii="楷体" w:hAnsi="楷体" w:eastAsia="楷体" w:cs="楷体"/>
          <w:sz w:val="24"/>
          <w:szCs w:val="24"/>
          <w:lang w:eastAsia="zh"/>
        </w:rPr>
        <w:t>地</w:t>
      </w:r>
      <w:r>
        <w:rPr>
          <w:rFonts w:hint="eastAsia" w:ascii="楷体" w:hAnsi="楷体" w:eastAsia="楷体" w:cs="楷体"/>
          <w:sz w:val="24"/>
          <w:szCs w:val="24"/>
        </w:rPr>
        <w:t>膨胀的过程中，基金净值始终在快速上涨，而且是越来越快速</w:t>
      </w:r>
      <w:r>
        <w:rPr>
          <w:rFonts w:hint="eastAsia" w:ascii="楷体" w:hAnsi="楷体" w:eastAsia="楷体" w:cs="楷体"/>
          <w:sz w:val="24"/>
          <w:szCs w:val="24"/>
          <w:lang w:eastAsia="zh"/>
        </w:rPr>
        <w:t>地</w:t>
      </w:r>
      <w:r>
        <w:rPr>
          <w:rFonts w:hint="eastAsia" w:ascii="楷体" w:hAnsi="楷体" w:eastAsia="楷体" w:cs="楷体"/>
          <w:sz w:val="24"/>
          <w:szCs w:val="24"/>
        </w:rPr>
        <w:t>上涨。</w:t>
      </w:r>
      <w:r>
        <w:rPr>
          <w:rFonts w:hint="eastAsia" w:ascii="楷体" w:hAnsi="楷体" w:eastAsia="楷体" w:cs="楷体"/>
          <w:b/>
          <w:bCs/>
          <w:sz w:val="24"/>
          <w:szCs w:val="24"/>
        </w:rPr>
        <w:t>为了他们能挣到更多的钱，他们</w:t>
      </w:r>
      <w:r>
        <w:rPr>
          <w:rFonts w:hint="eastAsia" w:ascii="楷体" w:hAnsi="楷体" w:eastAsia="楷体" w:cs="楷体"/>
          <w:sz w:val="24"/>
          <w:szCs w:val="24"/>
        </w:rPr>
        <w:t>需要让泡沫连续不断</w:t>
      </w:r>
      <w:r>
        <w:rPr>
          <w:rFonts w:hint="eastAsia" w:ascii="楷体" w:hAnsi="楷体" w:eastAsia="楷体" w:cs="楷体"/>
          <w:sz w:val="24"/>
          <w:szCs w:val="24"/>
          <w:lang w:eastAsia="zh"/>
        </w:rPr>
        <w:t>地</w:t>
      </w:r>
      <w:r>
        <w:rPr>
          <w:rFonts w:hint="eastAsia" w:ascii="楷体" w:hAnsi="楷体" w:eastAsia="楷体" w:cs="楷体"/>
          <w:sz w:val="24"/>
          <w:szCs w:val="24"/>
        </w:rPr>
        <w:t>扩大</w:t>
      </w:r>
      <w:r>
        <w:rPr>
          <w:rFonts w:hint="eastAsia" w:ascii="楷体" w:hAnsi="楷体" w:eastAsia="楷体" w:cs="楷体"/>
          <w:b/>
          <w:bCs/>
          <w:sz w:val="24"/>
          <w:szCs w:val="24"/>
        </w:rPr>
        <w:t>，他们对推动泡沫行为所带来的客户利益的必然损失，以及中国股市必然在未来崩溃的事情完全不在意。</w:t>
      </w:r>
    </w:p>
    <w:p>
      <w:pPr>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基金经理和基金公司利用了普通社会大众没有专业能力，只能通过净值的短期上涨买基金的现实，基金经理和基金公司利用大众的不专业，不断制造泡沫引诱大众。在泡沫壮大的时候，不专业的投资人会不断买入，并支持那些制造泡沫的基金经理和基金公司。那些制造泡沫，把出资人的钱投到泡沫里的基金经理和基金公司，会受到出资人的热烈欢迎和称赞。大众被基金净值虚假的上涨所迷惑，误以为自己已经赚了钱，误以为基金经理是有强大投资能力的，基金的出资人会把基金经理视为股神和英雄，甚至于给这些基金经理组织了后援会。</w:t>
      </w:r>
    </w:p>
    <w:p>
      <w:pPr>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随着时间推移，出资人的钱越来越处于危险之中，当全社会几乎所有可投的钱都基本投进来的时候，再没有新增资金的时候，在价值规律的作用下出现了崩塌，于是所有的客户的钱都大幅</w:t>
      </w:r>
      <w:r>
        <w:rPr>
          <w:rFonts w:hint="eastAsia" w:ascii="楷体" w:hAnsi="楷体" w:eastAsia="楷体" w:cs="楷体"/>
          <w:sz w:val="24"/>
          <w:szCs w:val="24"/>
          <w:lang w:eastAsia="zh"/>
        </w:rPr>
        <w:t>地</w:t>
      </w:r>
      <w:r>
        <w:rPr>
          <w:rFonts w:hint="eastAsia" w:ascii="楷体" w:hAnsi="楷体" w:eastAsia="楷体" w:cs="楷体"/>
          <w:sz w:val="24"/>
          <w:szCs w:val="24"/>
        </w:rPr>
        <w:t>损失了，资本市场也发生了严重的危机和系统风险。此时，基金经理们会技巧性</w:t>
      </w:r>
      <w:r>
        <w:rPr>
          <w:rFonts w:hint="eastAsia" w:ascii="楷体" w:hAnsi="楷体" w:eastAsia="楷体" w:cs="楷体"/>
          <w:sz w:val="24"/>
          <w:szCs w:val="24"/>
          <w:lang w:eastAsia="zh"/>
        </w:rPr>
        <w:t>地</w:t>
      </w:r>
      <w:r>
        <w:rPr>
          <w:rFonts w:hint="eastAsia" w:ascii="楷体" w:hAnsi="楷体" w:eastAsia="楷体" w:cs="楷体"/>
          <w:sz w:val="24"/>
          <w:szCs w:val="24"/>
        </w:rPr>
        <w:t>找到一个下跌的理由，要么是经济基本面有波动，要么就是国际关系发生了变化，要么就是乌克兰战争，要么就是中东局势危机，或者就说是房地产有问题，反正不是基金经理的问题，把自己的责任撇得一干二净。客户因为不专业，最后也就接受了这个观点！</w:t>
      </w:r>
    </w:p>
    <w:p>
      <w:pPr>
        <w:adjustRightInd w:val="0"/>
        <w:spacing w:line="360" w:lineRule="auto"/>
        <w:ind w:firstLine="480" w:firstLineChars="200"/>
        <w:jc w:val="both"/>
        <w:rPr>
          <w:rFonts w:hint="eastAsia" w:ascii="楷体" w:hAnsi="楷体" w:eastAsia="楷体" w:cs="楷体"/>
          <w:sz w:val="24"/>
          <w:szCs w:val="24"/>
        </w:rPr>
      </w:pPr>
      <w:r>
        <w:rPr>
          <w:rFonts w:hint="eastAsia" w:ascii="楷体" w:hAnsi="楷体" w:eastAsia="楷体" w:cs="楷体"/>
          <w:sz w:val="24"/>
          <w:szCs w:val="24"/>
        </w:rPr>
        <w:t xml:space="preserve">客户不仅约束不了基金经理，而且会给基金经理以负激励，激励基金经理做伤害客户自身利益的事情，在这种情况下，赚客户的钱，收割客户就成了中国资产管理业的主流模式。 </w:t>
      </w:r>
    </w:p>
    <w:p>
      <w:pPr>
        <w:adjustRightInd w:val="0"/>
        <w:spacing w:line="360" w:lineRule="auto"/>
        <w:ind w:firstLine="480" w:firstLineChars="200"/>
        <w:jc w:val="both"/>
        <w:rPr>
          <w:rFonts w:hint="eastAsia" w:ascii="楷体" w:hAnsi="楷体" w:eastAsia="楷体" w:cs="楷体"/>
          <w:sz w:val="24"/>
          <w:szCs w:val="24"/>
        </w:rPr>
      </w:pPr>
    </w:p>
    <w:p>
      <w:pPr>
        <w:pStyle w:val="3"/>
        <w:numPr>
          <w:ilvl w:val="0"/>
          <w:numId w:val="2"/>
        </w:numPr>
        <w:shd w:val="clear" w:color="auto" w:fill="FFFFFF"/>
        <w:adjustRightInd w:val="0"/>
        <w:jc w:val="both"/>
      </w:pPr>
      <w:bookmarkStart w:id="12" w:name="_Toc17136"/>
      <w:r>
        <w:t>公募基金颠覆了永恒的市场经济法则</w:t>
      </w:r>
      <w:bookmarkEnd w:id="12"/>
    </w:p>
    <w:p>
      <w:pPr>
        <w:adjustRightInd w:val="0"/>
        <w:spacing w:line="360" w:lineRule="auto"/>
        <w:ind w:firstLine="480" w:firstLineChars="200"/>
        <w:jc w:val="both"/>
        <w:rPr>
          <w:rFonts w:hint="eastAsia" w:ascii="楷体" w:hAnsi="楷体" w:eastAsia="楷体" w:cs="楷体"/>
          <w:sz w:val="24"/>
          <w:szCs w:val="24"/>
        </w:rPr>
      </w:pPr>
      <w:r>
        <w:rPr>
          <w:rFonts w:hint="eastAsia" w:ascii="楷体" w:hAnsi="楷体" w:eastAsia="楷体" w:cs="楷体"/>
          <w:sz w:val="24"/>
          <w:szCs w:val="24"/>
        </w:rPr>
        <w:t>以上情况并非最严重的问题，最严重的问题是中国资产管理业出现了，越是毁灭出资人财富，越是让出资人亏损越多，出资人受害越严重的基金和基金公司做的规模越大，基金公司的收入和利润越大！越是让出资人损失越大的基金公司的发展速度越快、行业地位排名越靠前！</w:t>
      </w:r>
    </w:p>
    <w:p>
      <w:pPr>
        <w:adjustRightInd w:val="0"/>
        <w:spacing w:line="360" w:lineRule="auto"/>
        <w:ind w:firstLine="480" w:firstLineChars="200"/>
        <w:jc w:val="both"/>
        <w:rPr>
          <w:rFonts w:hint="eastAsia" w:ascii="楷体" w:hAnsi="楷体" w:eastAsia="楷体" w:cs="楷体"/>
          <w:sz w:val="24"/>
          <w:szCs w:val="24"/>
        </w:rPr>
      </w:pPr>
      <w:r>
        <w:rPr>
          <w:rFonts w:hint="eastAsia" w:ascii="楷体" w:hAnsi="楷体" w:eastAsia="楷体" w:cs="楷体"/>
          <w:sz w:val="24"/>
          <w:szCs w:val="24"/>
        </w:rPr>
        <w:t>下表是中国前十大基金公司的数据：</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ascii="楷体" w:hAnsi="楷体" w:eastAsia="楷体" w:cs="楷体"/>
          <w:sz w:val="24"/>
          <w:szCs w:val="24"/>
        </w:rPr>
      </w:pPr>
      <w:r>
        <w:drawing>
          <wp:inline distT="0" distB="0" distL="114300" distR="114300">
            <wp:extent cx="5727700" cy="5015865"/>
            <wp:effectExtent l="0" t="0" r="2540" b="13335"/>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pic:cNvPicPr>
                  </pic:nvPicPr>
                  <pic:blipFill>
                    <a:blip r:embed="rId62"/>
                    <a:stretch>
                      <a:fillRect/>
                    </a:stretch>
                  </pic:blipFill>
                  <pic:spPr>
                    <a:xfrm>
                      <a:off x="0" y="0"/>
                      <a:ext cx="5727700" cy="5015865"/>
                    </a:xfrm>
                    <a:prstGeom prst="rect">
                      <a:avLst/>
                    </a:prstGeom>
                    <a:noFill/>
                    <a:ln>
                      <a:noFill/>
                    </a:ln>
                  </pic:spPr>
                </pic:pic>
              </a:graphicData>
            </a:graphic>
          </wp:inline>
        </w:drawing>
      </w:r>
    </w:p>
    <w:p>
      <w:pPr>
        <w:adjustRightInd w:val="0"/>
        <w:spacing w:line="360" w:lineRule="auto"/>
        <w:ind w:firstLine="480" w:firstLineChars="200"/>
        <w:rPr>
          <w:rFonts w:ascii="楷体" w:hAnsi="楷体" w:eastAsia="楷体" w:cs="楷体"/>
          <w:color w:val="000000" w:themeColor="text1"/>
          <w:sz w:val="24"/>
          <w:szCs w:val="24"/>
          <w14:textFill>
            <w14:solidFill>
              <w14:schemeClr w14:val="tx1"/>
            </w14:solidFill>
          </w14:textFill>
        </w:rPr>
      </w:pPr>
      <w:r>
        <w:rPr>
          <w:rFonts w:hint="eastAsia" w:ascii="楷体" w:hAnsi="楷体" w:eastAsia="楷体" w:cs="楷体"/>
          <w:color w:val="000000" w:themeColor="text1"/>
          <w:sz w:val="24"/>
          <w:szCs w:val="24"/>
          <w14:textFill>
            <w14:solidFill>
              <w14:schemeClr w14:val="tx1"/>
            </w14:solidFill>
          </w14:textFill>
        </w:rPr>
        <w:t>中国前五大基金公司所管理的权益类基金的规模占到全行业的</w:t>
      </w:r>
      <w:r>
        <w:rPr>
          <w:rFonts w:hint="eastAsia" w:ascii="楷体" w:hAnsi="楷体" w:eastAsia="楷体" w:cs="楷体"/>
          <w:b/>
          <w:bCs/>
          <w:color w:val="000000" w:themeColor="text1"/>
          <w:sz w:val="24"/>
          <w:szCs w:val="24"/>
          <w14:textFill>
            <w14:solidFill>
              <w14:schemeClr w14:val="tx1"/>
            </w14:solidFill>
          </w14:textFill>
        </w:rPr>
        <w:t>65%</w:t>
      </w:r>
      <w:r>
        <w:rPr>
          <w:rFonts w:hint="eastAsia" w:ascii="楷体" w:hAnsi="楷体" w:eastAsia="楷体" w:cs="楷体"/>
          <w:color w:val="000000" w:themeColor="text1"/>
          <w:sz w:val="24"/>
          <w:szCs w:val="24"/>
          <w14:textFill>
            <w14:solidFill>
              <w14:schemeClr w14:val="tx1"/>
            </w14:solidFill>
          </w14:textFill>
        </w:rPr>
        <w:t>，所以中国前五大基金公司可以代表中国基金行业。</w:t>
      </w:r>
    </w:p>
    <w:p>
      <w:pPr>
        <w:adjustRightInd w:val="0"/>
        <w:spacing w:line="360" w:lineRule="auto"/>
        <w:ind w:firstLine="480" w:firstLineChars="200"/>
        <w:rPr>
          <w:rFonts w:hint="eastAsia" w:ascii="楷体" w:hAnsi="楷体" w:eastAsia="楷体" w:cs="楷体"/>
          <w:color w:val="000000" w:themeColor="text1"/>
          <w:sz w:val="24"/>
          <w:szCs w:val="24"/>
          <w14:textFill>
            <w14:solidFill>
              <w14:schemeClr w14:val="tx1"/>
            </w14:solidFill>
          </w14:textFill>
        </w:rPr>
      </w:pPr>
      <w:r>
        <w:rPr>
          <w:rFonts w:hint="eastAsia" w:ascii="楷体" w:hAnsi="楷体" w:eastAsia="楷体" w:cs="楷体"/>
          <w:color w:val="000000" w:themeColor="text1"/>
          <w:sz w:val="24"/>
          <w:szCs w:val="24"/>
          <w14:textFill>
            <w14:solidFill>
              <w14:schemeClr w14:val="tx1"/>
            </w14:solidFill>
          </w14:textFill>
        </w:rPr>
        <w:t>下表是前五大基金公司和行业整体权益类</w:t>
      </w:r>
      <w:r>
        <w:rPr>
          <w:rFonts w:hint="eastAsia" w:ascii="楷体" w:hAnsi="楷体" w:eastAsia="楷体" w:cs="楷体"/>
          <w:color w:val="000000" w:themeColor="text1"/>
          <w:sz w:val="24"/>
          <w:szCs w:val="24"/>
          <w:lang w:eastAsia="zh"/>
          <w14:textFill>
            <w14:solidFill>
              <w14:schemeClr w14:val="tx1"/>
            </w14:solidFill>
          </w14:textFill>
        </w:rPr>
        <w:t>基金</w:t>
      </w:r>
      <w:r>
        <w:rPr>
          <w:rFonts w:hint="eastAsia" w:ascii="楷体" w:hAnsi="楷体" w:eastAsia="楷体" w:cs="楷体"/>
          <w:color w:val="000000" w:themeColor="text1"/>
          <w:sz w:val="24"/>
          <w:szCs w:val="24"/>
          <w14:textFill>
            <w14:solidFill>
              <w14:schemeClr w14:val="tx1"/>
            </w14:solidFill>
          </w14:textFill>
        </w:rPr>
        <w:t>出资人盈利对比：</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楷体" w:hAnsi="楷体" w:eastAsia="楷体" w:cs="楷体"/>
          <w:color w:val="000000" w:themeColor="text1"/>
          <w:sz w:val="24"/>
          <w:szCs w:val="24"/>
          <w14:textFill>
            <w14:solidFill>
              <w14:schemeClr w14:val="tx1"/>
            </w14:solidFill>
          </w14:textFill>
        </w:rPr>
      </w:pPr>
      <w:r>
        <w:drawing>
          <wp:inline distT="0" distB="0" distL="114300" distR="114300">
            <wp:extent cx="5725160" cy="1548765"/>
            <wp:effectExtent l="0" t="0" r="5080" b="5715"/>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pic:cNvPicPr>
                  </pic:nvPicPr>
                  <pic:blipFill>
                    <a:blip r:embed="rId63"/>
                    <a:stretch>
                      <a:fillRect/>
                    </a:stretch>
                  </pic:blipFill>
                  <pic:spPr>
                    <a:xfrm>
                      <a:off x="0" y="0"/>
                      <a:ext cx="5725160" cy="1548765"/>
                    </a:xfrm>
                    <a:prstGeom prst="rect">
                      <a:avLst/>
                    </a:prstGeom>
                    <a:noFill/>
                    <a:ln>
                      <a:noFill/>
                    </a:ln>
                  </pic:spPr>
                </pic:pic>
              </a:graphicData>
            </a:graphic>
          </wp:inline>
        </w:drawing>
      </w:r>
    </w:p>
    <w:p>
      <w:pPr>
        <w:adjustRightInd w:val="0"/>
        <w:spacing w:line="360" w:lineRule="auto"/>
        <w:ind w:firstLine="480" w:firstLineChars="200"/>
        <w:rPr>
          <w:rFonts w:ascii="楷体" w:hAnsi="楷体" w:eastAsia="楷体" w:cs="楷体"/>
          <w:b/>
          <w:bCs/>
          <w:sz w:val="24"/>
          <w:szCs w:val="24"/>
        </w:rPr>
      </w:pPr>
      <w:r>
        <w:rPr>
          <w:rFonts w:hint="eastAsia" w:ascii="楷体" w:hAnsi="楷体" w:eastAsia="楷体" w:cs="楷体"/>
          <w:sz w:val="24"/>
          <w:szCs w:val="24"/>
        </w:rPr>
        <w:t>前五大基金公司占基金行业权益类资产的</w:t>
      </w:r>
      <w:r>
        <w:rPr>
          <w:rFonts w:hint="eastAsia" w:ascii="楷体" w:hAnsi="楷体" w:eastAsia="楷体" w:cs="楷体"/>
          <w:b/>
          <w:bCs/>
          <w:color w:val="000000" w:themeColor="text1"/>
          <w:sz w:val="24"/>
          <w:szCs w:val="24"/>
          <w14:textFill>
            <w14:solidFill>
              <w14:schemeClr w14:val="tx1"/>
            </w14:solidFill>
          </w14:textFill>
        </w:rPr>
        <w:t>65%</w:t>
      </w:r>
      <w:r>
        <w:rPr>
          <w:rFonts w:hint="eastAsia" w:ascii="楷体" w:hAnsi="楷体" w:eastAsia="楷体" w:cs="楷体"/>
          <w:sz w:val="24"/>
          <w:szCs w:val="24"/>
        </w:rPr>
        <w:t xml:space="preserve">，但五大基金公司给其权益基金的出资人创造的合计财富只有行业的 </w:t>
      </w:r>
      <w:r>
        <w:rPr>
          <w:rFonts w:hint="eastAsia" w:ascii="楷体" w:hAnsi="楷体" w:eastAsia="楷体" w:cs="楷体"/>
          <w:b/>
          <w:bCs/>
          <w:color w:val="000000" w:themeColor="text1"/>
          <w:sz w:val="24"/>
          <w:szCs w:val="24"/>
          <w14:textFill>
            <w14:solidFill>
              <w14:schemeClr w14:val="tx1"/>
            </w14:solidFill>
          </w14:textFill>
        </w:rPr>
        <w:t>39%！</w:t>
      </w:r>
      <w:r>
        <w:rPr>
          <w:rFonts w:hint="eastAsia" w:ascii="楷体" w:hAnsi="楷体" w:eastAsia="楷体" w:cs="楷体"/>
          <w:sz w:val="24"/>
          <w:szCs w:val="24"/>
        </w:rPr>
        <w:t>中国前五大基金公司通过权益类基金为出资人创造的盈利，与其所托管的资产的比率远远小于行业平均！客观数据证明，前五大基金公司创造了比行业平均水平更低的出资人收益，却创造了比行业平均更高的自身收益。</w:t>
      </w:r>
      <w:r>
        <w:rPr>
          <w:rFonts w:hint="eastAsia" w:ascii="楷体" w:hAnsi="楷体" w:eastAsia="楷体" w:cs="楷体"/>
          <w:b/>
          <w:bCs/>
          <w:sz w:val="24"/>
          <w:szCs w:val="24"/>
        </w:rPr>
        <w:t>数据证明前五大基金公司不是靠给出资人带来更多的收益和利益而实现的做大做强，他们名列行业前列成为行业中领导型公司，是伴随着给出资人创造了比行业平均更少的回报实现的！</w:t>
      </w:r>
    </w:p>
    <w:p>
      <w:pPr>
        <w:adjustRightIn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数据证明整个中国公募基金行业的发展逻辑，不是创造出资人利益做大做强！资本市场的奖励机制发生蜕变和扭曲，给出资人创造超额收益已经不再是基金生存和发展之道！</w:t>
      </w:r>
    </w:p>
    <w:p>
      <w:pPr>
        <w:adjustRightInd w:val="0"/>
        <w:spacing w:line="360" w:lineRule="auto"/>
        <w:ind w:firstLine="480" w:firstLineChars="200"/>
        <w:rPr>
          <w:rFonts w:ascii="楷体" w:hAnsi="楷体" w:eastAsia="楷体" w:cs="楷体"/>
          <w:b/>
          <w:bCs/>
          <w:sz w:val="24"/>
          <w:szCs w:val="24"/>
        </w:rPr>
      </w:pPr>
      <w:r>
        <w:rPr>
          <w:rFonts w:hint="eastAsia" w:ascii="楷体" w:hAnsi="楷体" w:eastAsia="楷体" w:cs="楷体"/>
          <w:sz w:val="24"/>
          <w:szCs w:val="24"/>
        </w:rPr>
        <w:t>这一事实的</w:t>
      </w:r>
      <w:r>
        <w:rPr>
          <w:rFonts w:hint="eastAsia" w:ascii="楷体" w:hAnsi="楷体" w:eastAsia="楷体" w:cs="楷体"/>
          <w:b/>
          <w:bCs/>
          <w:sz w:val="24"/>
          <w:szCs w:val="24"/>
        </w:rPr>
        <w:t>可怕之处是：</w:t>
      </w:r>
    </w:p>
    <w:p>
      <w:pPr>
        <w:adjustRightInd w:val="0"/>
        <w:spacing w:line="360" w:lineRule="auto"/>
        <w:ind w:firstLine="482" w:firstLineChars="200"/>
        <w:rPr>
          <w:rFonts w:ascii="楷体" w:hAnsi="楷体" w:eastAsia="楷体" w:cs="楷体"/>
          <w:b/>
          <w:bCs/>
          <w:sz w:val="24"/>
          <w:szCs w:val="24"/>
        </w:rPr>
      </w:pPr>
      <w:r>
        <w:rPr>
          <w:rFonts w:hint="eastAsia" w:ascii="楷体" w:hAnsi="楷体" w:eastAsia="楷体" w:cs="楷体"/>
          <w:b/>
          <w:bCs/>
          <w:sz w:val="24"/>
          <w:szCs w:val="24"/>
        </w:rPr>
        <w:t>中国资产管理业做大、做强的逻辑发生了蜕变，基金公司的成功逻辑，从创造出资人利益，变成谁损害的出资人利益越多谁越能做大做强！这就是中国资产管理业，中国资本市场的恐怖之处！创造客户价值在中国基金行业不再是基金公司发展的基础，让客户损失</w:t>
      </w:r>
      <w:r>
        <w:rPr>
          <w:rFonts w:hint="eastAsia" w:ascii="楷体" w:hAnsi="楷体" w:eastAsia="楷体" w:cs="楷体"/>
          <w:b/>
          <w:bCs/>
          <w:sz w:val="24"/>
          <w:szCs w:val="24"/>
          <w:lang w:eastAsia="zh"/>
        </w:rPr>
        <w:t>得</w:t>
      </w:r>
      <w:r>
        <w:rPr>
          <w:rFonts w:hint="eastAsia" w:ascii="楷体" w:hAnsi="楷体" w:eastAsia="楷体" w:cs="楷体"/>
          <w:b/>
          <w:bCs/>
          <w:sz w:val="24"/>
          <w:szCs w:val="24"/>
        </w:rPr>
        <w:t>越多，越能获得基金公司的发展。中国基金行业把人类商业史上形成的，商业公司只有创造客户利益和客户价值，才能促成商业公司发展的普遍规律给彻底颠覆了。这种颠覆才是中国资本市场一系列危机的深层次原因。公募基金作为市场上体量最大的能决定中国股市走向和生死的，掌握最大定价权的机构投资者，他内部的竞争逻辑已经从创造出资人收益，变成了创造出资人损失才能做大，那这个市场怎么能好呢？</w:t>
      </w:r>
    </w:p>
    <w:p>
      <w:pPr>
        <w:numPr>
          <w:ilvl w:val="0"/>
          <w:numId w:val="6"/>
        </w:numPr>
        <w:adjustRightInd w:val="0"/>
        <w:ind w:left="420" w:leftChars="0" w:hanging="420" w:firstLineChars="0"/>
        <w:rPr>
          <w:b/>
          <w:bCs/>
          <w:sz w:val="28"/>
          <w:szCs w:val="32"/>
        </w:rPr>
      </w:pPr>
      <w:r>
        <w:rPr>
          <w:b/>
          <w:bCs/>
          <w:sz w:val="28"/>
          <w:szCs w:val="32"/>
        </w:rPr>
        <w:t>真相和本质是：</w:t>
      </w:r>
    </w:p>
    <w:p>
      <w:pPr>
        <w:adjustRightInd w:val="0"/>
        <w:spacing w:line="360" w:lineRule="auto"/>
        <w:ind w:firstLine="482" w:firstLineChars="200"/>
        <w:jc w:val="both"/>
        <w:rPr>
          <w:rFonts w:ascii="楷体" w:hAnsi="楷体" w:eastAsia="楷体" w:cs="楷体"/>
          <w:b/>
          <w:bCs/>
          <w:sz w:val="24"/>
          <w:szCs w:val="24"/>
        </w:rPr>
      </w:pPr>
      <w:r>
        <w:rPr>
          <w:rFonts w:hint="eastAsia" w:ascii="楷体" w:hAnsi="楷体" w:eastAsia="楷体" w:cs="楷体"/>
          <w:b/>
          <w:bCs/>
          <w:sz w:val="24"/>
          <w:szCs w:val="24"/>
        </w:rPr>
        <w:t>中国公募基金找到的能使自己利益快速做大的方法是：</w:t>
      </w:r>
    </w:p>
    <w:p>
      <w:pPr>
        <w:adjustRightInd w:val="0"/>
        <w:spacing w:line="360" w:lineRule="auto"/>
        <w:ind w:firstLine="482" w:firstLineChars="200"/>
        <w:jc w:val="both"/>
        <w:rPr>
          <w:rFonts w:ascii="楷体" w:hAnsi="楷体" w:eastAsia="楷体" w:cs="楷体"/>
          <w:b/>
          <w:bCs/>
          <w:sz w:val="24"/>
          <w:szCs w:val="24"/>
        </w:rPr>
      </w:pPr>
      <w:r>
        <w:rPr>
          <w:rFonts w:hint="eastAsia" w:ascii="楷体" w:hAnsi="楷体" w:eastAsia="楷体" w:cs="楷体"/>
          <w:b/>
          <w:bCs/>
          <w:sz w:val="24"/>
          <w:szCs w:val="24"/>
        </w:rPr>
        <w:t>利用手中的定价权，集中炒作自己的重仓股，通过制造重仓股不正常的短期极速上涨，用不可持续的虚假高收益刺激社会大众的挣钱欲望，在社会大众的挣钱欲望被刺激起来后，社会大众的钱都集中到基金里，基金经理和基金公司在掌控了更多的钱的同时强化了自己手中的定价权，用手里的定价权更猛烈推升基金重仓股股价，制造出更大的泡沫，更多的社会大众的钱被裹挟进来。整个过程就是不断制造泡沫的过程，最后泡沫因为违反价值规律，必然</w:t>
      </w:r>
      <w:r>
        <w:rPr>
          <w:rFonts w:hint="eastAsia" w:ascii="楷体" w:hAnsi="楷体" w:eastAsia="楷体" w:cs="楷体"/>
          <w:b/>
          <w:bCs/>
          <w:sz w:val="24"/>
          <w:szCs w:val="24"/>
          <w:lang w:eastAsia="zh"/>
        </w:rPr>
        <w:t>地</w:t>
      </w:r>
      <w:r>
        <w:rPr>
          <w:rFonts w:hint="eastAsia" w:ascii="楷体" w:hAnsi="楷体" w:eastAsia="楷体" w:cs="楷体"/>
          <w:b/>
          <w:bCs/>
          <w:sz w:val="24"/>
          <w:szCs w:val="24"/>
        </w:rPr>
        <w:t>破裂，风险爆发出来，出资人的利益全面损失，金融市场的稳定全面丧失，社会经济受到全面的不利影响。唯有基金公司和基金经理获得超额的利益。</w:t>
      </w:r>
    </w:p>
    <w:p>
      <w:pPr>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当您看到这里的时候，正常情况下会产生一个疑惑，上文所描述的情况非常眼熟似乎在哪里见过！好像在哪里似曾相识？是在下面这一段文字中见过：</w:t>
      </w:r>
    </w:p>
    <w:p>
      <w:pPr>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庞氏骗局特点一：骗局的组织者需要制造一个超高的，不可能持久不正常的高收益，来刺激大众发财的梦想和贪欲。</w:t>
      </w:r>
    </w:p>
    <w:p>
      <w:pPr>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庞氏骗局特点二：当骗局组织者提供了一个严重不正常的高收益时，大众的发财梦想和贪欲被刺激起来，大众会将自己手中的钱争先恐后</w:t>
      </w:r>
      <w:r>
        <w:rPr>
          <w:rFonts w:hint="eastAsia" w:ascii="楷体" w:hAnsi="楷体" w:eastAsia="楷体" w:cs="楷体"/>
          <w:sz w:val="24"/>
          <w:szCs w:val="24"/>
          <w:lang w:eastAsia="zh"/>
        </w:rPr>
        <w:t>地</w:t>
      </w:r>
      <w:r>
        <w:rPr>
          <w:rFonts w:hint="eastAsia" w:ascii="楷体" w:hAnsi="楷体" w:eastAsia="楷体" w:cs="楷体"/>
          <w:sz w:val="24"/>
          <w:szCs w:val="24"/>
        </w:rPr>
        <w:t>主动投入虚无缥缈不可能实现的虚假的项目。</w:t>
      </w:r>
    </w:p>
    <w:p>
      <w:pPr>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庞氏骗局特点三：前期早加入庞氏骗局的人的回报来自后加入者的投入，骗局组织者用后加入者的钱向早期加入的人发放不持久高收益，制造赚钱效应，扩大欺骗范围。</w:t>
      </w:r>
    </w:p>
    <w:p>
      <w:pPr>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庞氏骗局特点四：当历经一段时间后，所有的人都参与进来，没有新增加入者后，骗局无法维持，整个庞氏骗局崩溃，骗局的组织者携款而逃成为唯一的获利者，其他所有参与者全部成为受损者，大部分人血本无归。</w:t>
      </w:r>
    </w:p>
    <w:p>
      <w:pPr>
        <w:shd w:val="clear" w:color="auto" w:fill="FFFFFF"/>
        <w:adjustRightInd w:val="0"/>
        <w:spacing w:line="360" w:lineRule="auto"/>
        <w:ind w:firstLine="480" w:firstLineChars="200"/>
        <w:jc w:val="both"/>
        <w:rPr>
          <w:rFonts w:ascii="楷体" w:hAnsi="楷体" w:eastAsia="楷体" w:cs="楷体"/>
          <w:sz w:val="24"/>
          <w:szCs w:val="24"/>
          <w:shd w:val="clear" w:color="auto" w:fill="FFFFFF"/>
          <w:lang w:bidi="ar"/>
        </w:rPr>
      </w:pPr>
      <w:r>
        <w:rPr>
          <w:rFonts w:hint="eastAsia" w:ascii="楷体" w:hAnsi="楷体" w:eastAsia="楷体" w:cs="楷体"/>
          <w:sz w:val="24"/>
          <w:szCs w:val="24"/>
          <w:lang w:bidi="ar"/>
        </w:rPr>
        <w:t>庞氏骗局特点五：善于包装造神，</w:t>
      </w:r>
      <w:r>
        <w:rPr>
          <w:rFonts w:hint="eastAsia" w:ascii="楷体" w:hAnsi="楷体" w:eastAsia="楷体" w:cs="楷体"/>
          <w:sz w:val="24"/>
          <w:szCs w:val="24"/>
          <w:shd w:val="clear" w:color="auto" w:fill="FFFFFF"/>
          <w:lang w:bidi="ar"/>
        </w:rPr>
        <w:t>不断塑造“天才”或“专家”形象，</w:t>
      </w:r>
      <w:r>
        <w:rPr>
          <w:rFonts w:hint="eastAsia" w:ascii="楷体" w:hAnsi="楷体" w:eastAsia="楷体" w:cs="楷体"/>
          <w:sz w:val="24"/>
          <w:szCs w:val="24"/>
          <w:lang w:bidi="ar"/>
        </w:rPr>
        <w:t>让大众相信庞氏骗局的组织者拥有别人没有的非凡挣钱能力！这种挣钱能力</w:t>
      </w:r>
      <w:r>
        <w:rPr>
          <w:rFonts w:hint="eastAsia" w:ascii="楷体" w:hAnsi="楷体" w:eastAsia="楷体" w:cs="楷体"/>
          <w:sz w:val="24"/>
          <w:szCs w:val="24"/>
          <w:shd w:val="clear" w:color="auto" w:fill="FFFFFF"/>
          <w:lang w:bidi="ar"/>
        </w:rPr>
        <w:t>神秘而不可复制。</w:t>
      </w:r>
    </w:p>
    <w:p>
      <w:pPr>
        <w:shd w:val="clear" w:color="auto" w:fill="FFFFFF"/>
        <w:adjustRightInd w:val="0"/>
        <w:spacing w:line="360" w:lineRule="auto"/>
        <w:ind w:firstLine="480" w:firstLineChars="200"/>
        <w:jc w:val="both"/>
        <w:rPr>
          <w:rFonts w:ascii="楷体" w:hAnsi="楷体" w:eastAsia="楷体" w:cs="楷体"/>
          <w:sz w:val="24"/>
          <w:szCs w:val="24"/>
          <w:shd w:val="clear" w:color="auto" w:fill="FFFFFF"/>
          <w:lang w:bidi="ar"/>
        </w:rPr>
      </w:pPr>
      <w:r>
        <w:rPr>
          <w:rFonts w:hint="eastAsia" w:ascii="楷体" w:hAnsi="楷体" w:eastAsia="楷体" w:cs="楷体"/>
          <w:sz w:val="24"/>
          <w:szCs w:val="24"/>
          <w:lang w:bidi="ar"/>
        </w:rPr>
        <w:t>庞氏骗局特点六：一个地区出现大规模庞氏骗局后，随着骗局必然崩溃，在骗局崩溃后这个地区的金融环境、实体经济遭受重大打击，出现相当一段时间的经济衰退和金融动荡。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楷体" w:hAnsi="楷体" w:eastAsia="楷体" w:cs="楷体"/>
          <w:sz w:val="24"/>
          <w:szCs w:val="24"/>
          <w:lang w:bidi="ar"/>
        </w:rPr>
      </w:pPr>
      <w:r>
        <w:rPr>
          <w:rFonts w:hint="eastAsia" w:ascii="楷体" w:hAnsi="楷体" w:eastAsia="楷体" w:cs="楷体"/>
          <w:sz w:val="24"/>
          <w:szCs w:val="24"/>
          <w:lang w:bidi="ar"/>
        </w:rPr>
        <w:t>进一步抽象概括庞氏骗局的最核心特点是：</w:t>
      </w:r>
    </w:p>
    <w:p>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firstLine="482" w:firstLineChars="200"/>
        <w:jc w:val="both"/>
        <w:textAlignment w:val="auto"/>
        <w:rPr>
          <w:rFonts w:ascii="楷体" w:hAnsi="楷体" w:eastAsia="楷体" w:cs="楷体"/>
          <w:b/>
          <w:bCs/>
          <w:sz w:val="24"/>
          <w:szCs w:val="24"/>
          <w:lang w:bidi="ar"/>
        </w:rPr>
      </w:pPr>
      <w:r>
        <w:rPr>
          <w:rFonts w:hint="eastAsia" w:ascii="楷体" w:hAnsi="楷体" w:eastAsia="楷体" w:cs="楷体"/>
          <w:b/>
          <w:bCs/>
          <w:sz w:val="24"/>
          <w:szCs w:val="24"/>
          <w:lang w:bidi="ar"/>
        </w:rPr>
        <w:t>有一个不可能持久的罕见高收益聚拢大众资金。</w:t>
      </w:r>
    </w:p>
    <w:p>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firstLine="482" w:firstLineChars="200"/>
        <w:jc w:val="both"/>
        <w:textAlignment w:val="auto"/>
        <w:rPr>
          <w:rFonts w:ascii="楷体" w:hAnsi="楷体" w:eastAsia="楷体" w:cs="楷体"/>
          <w:b/>
          <w:bCs/>
          <w:sz w:val="24"/>
          <w:szCs w:val="24"/>
        </w:rPr>
      </w:pPr>
      <w:r>
        <w:rPr>
          <w:rFonts w:hint="eastAsia" w:ascii="楷体" w:hAnsi="楷体" w:eastAsia="楷体" w:cs="楷体"/>
          <w:b/>
          <w:bCs/>
          <w:sz w:val="24"/>
          <w:szCs w:val="24"/>
          <w:lang w:bidi="ar"/>
        </w:rPr>
        <w:t>最终结果只有组织者获利，其他参与者全部亏钱。</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楷体" w:hAnsi="楷体" w:eastAsia="楷体" w:cs="楷体"/>
          <w:sz w:val="24"/>
          <w:szCs w:val="24"/>
          <w:lang w:bidi="ar"/>
        </w:rPr>
      </w:pPr>
      <w:r>
        <w:rPr>
          <w:rFonts w:hint="eastAsia" w:ascii="楷体" w:hAnsi="楷体" w:eastAsia="楷体" w:cs="楷体"/>
          <w:sz w:val="24"/>
          <w:szCs w:val="24"/>
          <w:lang w:bidi="ar"/>
        </w:rPr>
        <w:t>如果有一个项目，一方面能提供短期的超高收益，另一方面最终的结果是除组织者之外的人全部亏损，那么他就一定是庞氏骗局。我们可以看到公募基金的这一套运作，是否符合庞氏骗局的这几个关键要素。</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firstLine="482" w:firstLineChars="200"/>
        <w:jc w:val="both"/>
        <w:textAlignment w:val="auto"/>
        <w:rPr>
          <w:rFonts w:ascii="楷体" w:hAnsi="楷体" w:eastAsia="楷体" w:cs="楷体"/>
          <w:b/>
          <w:bCs/>
          <w:sz w:val="24"/>
          <w:szCs w:val="24"/>
        </w:rPr>
      </w:pPr>
      <w:r>
        <w:rPr>
          <w:rFonts w:hint="eastAsia" w:ascii="楷体" w:hAnsi="楷体" w:eastAsia="楷体" w:cs="楷体"/>
          <w:b/>
          <w:bCs/>
          <w:sz w:val="24"/>
          <w:szCs w:val="24"/>
        </w:rPr>
        <w:t>公募基金给社会大众提供了一个短期内罕见的、不能持久的极高收益。下面两个图是中国规模最大的</w:t>
      </w:r>
      <w:r>
        <w:rPr>
          <w:rFonts w:hint="eastAsia" w:ascii="楷体" w:hAnsi="楷体" w:eastAsia="楷体" w:cs="楷体"/>
          <w:b/>
          <w:bCs/>
          <w:sz w:val="24"/>
          <w:szCs w:val="24"/>
          <w:lang w:eastAsia="zh"/>
        </w:rPr>
        <w:t>两只基金</w:t>
      </w:r>
      <w:r>
        <w:rPr>
          <w:rFonts w:hint="eastAsia" w:ascii="楷体" w:hAnsi="楷体" w:eastAsia="楷体" w:cs="楷体"/>
          <w:b/>
          <w:bCs/>
          <w:sz w:val="24"/>
          <w:szCs w:val="24"/>
        </w:rPr>
        <w:t>的净值走势。他们可以在一年多的时间里使基金净值出现200%的上涨。</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firstLine="482" w:firstLineChars="200"/>
        <w:jc w:val="both"/>
        <w:textAlignment w:val="auto"/>
        <w:rPr>
          <w:rFonts w:ascii="楷体" w:hAnsi="楷体" w:eastAsia="楷体" w:cs="楷体"/>
          <w:b/>
          <w:bCs/>
          <w:sz w:val="24"/>
          <w:szCs w:val="24"/>
        </w:rPr>
      </w:pPr>
      <w:r>
        <w:rPr>
          <w:rFonts w:hint="eastAsia" w:ascii="楷体" w:hAnsi="楷体" w:eastAsia="楷体" w:cs="楷体"/>
          <w:b/>
          <w:bCs/>
          <w:sz w:val="24"/>
          <w:szCs w:val="24"/>
          <w:lang w:eastAsia="zh"/>
        </w:rPr>
        <w:t>公募基金将</w:t>
      </w:r>
      <w:r>
        <w:rPr>
          <w:rFonts w:hint="eastAsia" w:ascii="楷体" w:hAnsi="楷体" w:eastAsia="楷体" w:cs="楷体"/>
          <w:b/>
          <w:bCs/>
          <w:sz w:val="24"/>
          <w:szCs w:val="24"/>
        </w:rPr>
        <w:t>后加入基金的资金拉升基金重仓股股价推动基金净值上涨。本质是用后加入基金的钱，给先加入基金的人发不可持续的、虚假的利润。</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firstLine="482" w:firstLineChars="200"/>
        <w:jc w:val="both"/>
        <w:textAlignment w:val="auto"/>
        <w:rPr>
          <w:rFonts w:ascii="楷体" w:hAnsi="楷体" w:eastAsia="楷体" w:cs="楷体"/>
          <w:b/>
          <w:bCs/>
          <w:sz w:val="24"/>
          <w:szCs w:val="24"/>
        </w:rPr>
      </w:pPr>
      <w:r>
        <w:rPr>
          <w:rFonts w:hint="eastAsia" w:ascii="楷体" w:hAnsi="楷体" w:eastAsia="楷体" w:cs="楷体"/>
          <w:b/>
          <w:bCs/>
          <w:sz w:val="24"/>
          <w:szCs w:val="24"/>
        </w:rPr>
        <w:t>公募基金在一轮抱团炒作过程中，给自己带来了巨额的收益，但基金的出资人整体处于巨大的亏损中。形成了除组织者获得巨额利润，组织者之外的参与者全部亏损的情况，这与庞氏骗局核心特征完全一样的特征。</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ind w:firstLine="480" w:firstLineChars="200"/>
        <w:jc w:val="both"/>
        <w:textAlignment w:val="auto"/>
        <w:rPr>
          <w:rFonts w:ascii="楷体" w:hAnsi="楷体" w:eastAsia="楷体" w:cs="楷体"/>
          <w:sz w:val="24"/>
          <w:szCs w:val="24"/>
        </w:rPr>
      </w:pPr>
      <w:r>
        <w:rPr>
          <w:rFonts w:hint="eastAsia" w:ascii="楷体" w:hAnsi="楷体" w:eastAsia="楷体" w:cs="楷体"/>
          <w:sz w:val="24"/>
          <w:szCs w:val="24"/>
        </w:rPr>
        <w:t>我的数据和事实已经证明公募基金在运作过程中，公募基金的运作客观过程和客观结果都与庞氏骗局的客观过程和客观结果一样，但是我们不太知道公募基金这个客观上的与庞氏骗局一样的过程和结果是不是公募基金一开始就有这种主观的恶意。</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楷体" w:hAnsi="楷体" w:eastAsia="楷体" w:cs="楷体"/>
          <w:b/>
          <w:bCs/>
          <w:sz w:val="24"/>
          <w:szCs w:val="24"/>
        </w:rPr>
      </w:pPr>
      <w:r>
        <w:rPr>
          <w:rFonts w:hint="eastAsia" w:ascii="楷体" w:hAnsi="楷体" w:eastAsia="楷体" w:cs="楷体"/>
          <w:b/>
          <w:bCs/>
          <w:sz w:val="24"/>
          <w:szCs w:val="24"/>
        </w:rPr>
        <w:t>数据</w:t>
      </w:r>
      <w:r>
        <w:rPr>
          <w:rFonts w:hint="eastAsia" w:ascii="楷体" w:hAnsi="楷体" w:eastAsia="楷体" w:cs="楷体"/>
          <w:b/>
          <w:bCs/>
          <w:sz w:val="24"/>
          <w:szCs w:val="24"/>
          <w:lang w:eastAsia="zh"/>
        </w:rPr>
        <w:t>是</w:t>
      </w:r>
      <w:r>
        <w:rPr>
          <w:rFonts w:hint="eastAsia" w:ascii="楷体" w:hAnsi="楷体" w:eastAsia="楷体" w:cs="楷体"/>
          <w:b/>
          <w:bCs/>
          <w:sz w:val="24"/>
          <w:szCs w:val="24"/>
        </w:rPr>
        <w:t>事实以及基于数据和事实的逻辑分析，已经完全可以强有力</w:t>
      </w:r>
      <w:r>
        <w:rPr>
          <w:rFonts w:hint="eastAsia" w:ascii="楷体" w:hAnsi="楷体" w:eastAsia="楷体" w:cs="楷体"/>
          <w:b/>
          <w:bCs/>
          <w:sz w:val="24"/>
          <w:szCs w:val="24"/>
          <w:lang w:eastAsia="zh"/>
        </w:rPr>
        <w:t>地</w:t>
      </w:r>
      <w:r>
        <w:rPr>
          <w:rFonts w:hint="eastAsia" w:ascii="楷体" w:hAnsi="楷体" w:eastAsia="楷体" w:cs="楷体"/>
          <w:b/>
          <w:bCs/>
          <w:sz w:val="24"/>
          <w:szCs w:val="24"/>
        </w:rPr>
        <w:t>证明它的客观效果和庞氏骗局。但不能判断的是他们跟庞氏骗局的组织者相比有没有主观故意，如果能证明他们有主观故意，那么就是纯粹的庞氏骗局，如果证明不了他们主观上有故意，那么在公募基金出现的是一种形式上和结果上与庞氏骗局一样的“类庞氏骗局”。</w:t>
      </w:r>
    </w:p>
    <w:p>
      <w:pPr>
        <w:numPr>
          <w:ilvl w:val="0"/>
          <w:numId w:val="9"/>
        </w:numPr>
        <w:adjustRightInd w:val="0"/>
        <w:ind w:left="420" w:leftChars="0" w:hanging="420" w:firstLineChars="0"/>
        <w:rPr>
          <w:b/>
          <w:sz w:val="28"/>
          <w:szCs w:val="32"/>
        </w:rPr>
      </w:pPr>
      <w:r>
        <w:rPr>
          <w:b/>
          <w:bCs/>
          <w:sz w:val="28"/>
          <w:szCs w:val="32"/>
        </w:rPr>
        <w:t>顶流基金经理蔡向阳自杀的价值和作用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楷体" w:hAnsi="楷体" w:eastAsia="楷体" w:cs="楷体"/>
          <w:color w:val="000000" w:themeColor="text1"/>
          <w:sz w:val="24"/>
          <w:szCs w:val="24"/>
          <w14:textFill>
            <w14:solidFill>
              <w14:schemeClr w14:val="tx1"/>
            </w14:solidFill>
          </w14:textFill>
        </w:rPr>
      </w:pPr>
      <w:r>
        <w:rPr>
          <w:rFonts w:hint="eastAsia" w:ascii="楷体" w:hAnsi="楷体" w:eastAsia="楷体" w:cs="楷体"/>
          <w:color w:val="000000" w:themeColor="text1"/>
          <w:sz w:val="24"/>
          <w:szCs w:val="24"/>
          <w14:textFill>
            <w14:solidFill>
              <w14:schemeClr w14:val="tx1"/>
            </w14:solidFill>
          </w14:textFill>
        </w:rPr>
        <w:t>有没有某种方法能证实或者证伪，公募基金有或者没有组织庞氏骗局的故意？有！</w:t>
      </w:r>
      <w:r>
        <w:rPr>
          <w:rFonts w:hint="eastAsia" w:ascii="楷体" w:hAnsi="楷体" w:eastAsia="楷体" w:cs="楷体"/>
          <w:b/>
          <w:bCs/>
          <w:color w:val="000000" w:themeColor="text1"/>
          <w:sz w:val="24"/>
          <w:szCs w:val="24"/>
          <w14:textFill>
            <w14:solidFill>
              <w14:schemeClr w14:val="tx1"/>
            </w14:solidFill>
          </w14:textFill>
        </w:rPr>
        <w:t>管理几百亿资金、著名的、顶流一线公募基金经理蔡向阳在职期间自杀，就是证实或证伪公募基金是否</w:t>
      </w:r>
      <w:r>
        <w:rPr>
          <w:rFonts w:hint="eastAsia" w:ascii="楷体" w:hAnsi="楷体" w:eastAsia="楷体" w:cs="楷体"/>
          <w:b/>
          <w:bCs/>
          <w:color w:val="000000" w:themeColor="text1"/>
          <w:sz w:val="24"/>
          <w:szCs w:val="24"/>
          <w:lang w:eastAsia="zh"/>
          <w14:textFill>
            <w14:solidFill>
              <w14:schemeClr w14:val="tx1"/>
            </w14:solidFill>
          </w14:textFill>
        </w:rPr>
        <w:t>存在</w:t>
      </w:r>
      <w:r>
        <w:rPr>
          <w:rFonts w:hint="eastAsia" w:ascii="楷体" w:hAnsi="楷体" w:eastAsia="楷体" w:cs="楷体"/>
          <w:b/>
          <w:bCs/>
          <w:color w:val="000000" w:themeColor="text1"/>
          <w:sz w:val="24"/>
          <w:szCs w:val="24"/>
          <w14:textFill>
            <w14:solidFill>
              <w14:schemeClr w14:val="tx1"/>
            </w14:solidFill>
          </w14:textFill>
        </w:rPr>
        <w:t>故意搞庞氏骗局的一个切入点。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楷体" w:hAnsi="楷体" w:eastAsia="楷体" w:cs="楷体"/>
          <w:sz w:val="24"/>
          <w:szCs w:val="24"/>
          <w:shd w:val="clear" w:color="auto" w:fill="FFFFFF"/>
        </w:rPr>
      </w:pPr>
      <w:r>
        <w:rPr>
          <w:rFonts w:hint="eastAsia" w:ascii="楷体" w:hAnsi="楷体" w:eastAsia="楷体" w:cs="楷体"/>
          <w:sz w:val="24"/>
          <w:szCs w:val="24"/>
          <w:shd w:val="clear" w:color="auto" w:fill="FFFFFF"/>
        </w:rPr>
        <w:t>2023年1月，自称是蔡向阳家属人士在网上发表长文，披露华夏基金最主要的基金经理蔡向阳，在岗期间</w:t>
      </w:r>
      <w:r>
        <w:rPr>
          <w:rFonts w:hint="eastAsia" w:ascii="楷体" w:hAnsi="楷体" w:eastAsia="楷体" w:cs="楷体"/>
          <w:sz w:val="24"/>
          <w:szCs w:val="24"/>
        </w:rPr>
        <w:t>自杀</w:t>
      </w:r>
      <w:r>
        <w:rPr>
          <w:rFonts w:hint="eastAsia" w:ascii="楷体" w:hAnsi="楷体" w:eastAsia="楷体" w:cs="楷体"/>
          <w:sz w:val="24"/>
          <w:szCs w:val="24"/>
          <w:shd w:val="clear" w:color="auto" w:fill="FFFFFF"/>
        </w:rPr>
        <w:t>的前因后果，长文对蔡向阳所在的基金公司不顾蔡向阳已经患有抑郁症，却仍旧让他承担募集的旗手最终导致蔡向阳不堪重负自杀。自称蔡向阳家属的公开网文发布于腾讯网、发布于微博，到2024年3月还在网上保存着：</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楷体" w:hAnsi="楷体" w:eastAsia="楷体" w:cs="楷体"/>
          <w:sz w:val="24"/>
          <w:szCs w:val="24"/>
          <w:shd w:val="clear" w:color="auto" w:fill="FFFFFF"/>
        </w:rPr>
      </w:pPr>
      <w:r>
        <w:rPr>
          <w:rFonts w:hint="eastAsia" w:ascii="楷体" w:hAnsi="楷体" w:eastAsia="楷体" w:cs="楷体"/>
          <w:b/>
          <w:bCs/>
          <w:sz w:val="24"/>
          <w:szCs w:val="24"/>
          <w:shd w:val="clear" w:color="auto" w:fill="FFFFFF"/>
        </w:rPr>
        <w:t>新浪微博：</w:t>
      </w:r>
      <w:r>
        <w:rPr>
          <w:rFonts w:hint="eastAsia" w:ascii="楷体" w:hAnsi="楷体" w:eastAsia="楷体" w:cs="楷体"/>
          <w:b/>
          <w:bCs/>
          <w:sz w:val="24"/>
          <w:szCs w:val="24"/>
          <w:shd w:val="clear" w:color="auto" w:fill="FFFFFF"/>
          <w:lang w:val="en-US" w:eastAsia="zh-CN"/>
        </w:rPr>
        <w:t>点击阅读</w:t>
      </w:r>
      <w:r>
        <w:rPr>
          <w:sz w:val="24"/>
          <w:szCs w:val="24"/>
        </w:rPr>
        <w:fldChar w:fldCharType="begin"/>
      </w:r>
      <w:r>
        <w:rPr>
          <w:sz w:val="24"/>
          <w:szCs w:val="24"/>
        </w:rPr>
        <w:instrText xml:space="preserve"> HYPERLINK "https://s.weibo.com/weibo?q=%E8%94%A1%E5%90%91%E9%98%B3%E5%A6%BB%E5%AD%90" </w:instrText>
      </w:r>
      <w:r>
        <w:rPr>
          <w:sz w:val="24"/>
          <w:szCs w:val="24"/>
        </w:rPr>
        <w:fldChar w:fldCharType="separate"/>
      </w:r>
      <w:r>
        <w:rPr>
          <w:rStyle w:val="17"/>
          <w:rFonts w:hint="eastAsia" w:ascii="楷体" w:hAnsi="楷体" w:eastAsia="楷体" w:cs="楷体"/>
          <w:color w:val="auto"/>
          <w:sz w:val="24"/>
          <w:szCs w:val="24"/>
          <w:shd w:val="clear" w:color="auto" w:fill="FFFFFF"/>
        </w:rPr>
        <w:t>https://s.weibo.com/weibo?q=%E8%94%A1%E5%90%91%E9%98%B3%E5%A6%BB%E5%AD%90</w:t>
      </w:r>
      <w:r>
        <w:rPr>
          <w:rStyle w:val="17"/>
          <w:rFonts w:hint="eastAsia" w:ascii="楷体" w:hAnsi="楷体" w:eastAsia="楷体" w:cs="楷体"/>
          <w:color w:val="auto"/>
          <w:sz w:val="24"/>
          <w:szCs w:val="24"/>
          <w:shd w:val="clear" w:color="auto" w:fill="FFFFFF"/>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8"/>
        </w:rPr>
      </w:pPr>
      <w:r>
        <w:rPr>
          <w:sz w:val="24"/>
          <w:szCs w:val="28"/>
        </w:rPr>
        <w:t>腾讯网：华夏基金前明星基金经理遗孀发长文控诉：蔡向阳被公司逼上绝路！</w:t>
      </w:r>
      <w:r>
        <w:rPr>
          <w:sz w:val="24"/>
          <w:szCs w:val="24"/>
        </w:rPr>
        <w:fldChar w:fldCharType="begin"/>
      </w:r>
      <w:r>
        <w:rPr>
          <w:sz w:val="24"/>
          <w:szCs w:val="24"/>
        </w:rPr>
        <w:instrText xml:space="preserve"> HYPERLINK "https://new.qq.com/rain/a/20230117A081YB00" </w:instrText>
      </w:r>
      <w:r>
        <w:rPr>
          <w:sz w:val="24"/>
          <w:szCs w:val="24"/>
        </w:rPr>
        <w:fldChar w:fldCharType="separate"/>
      </w:r>
      <w:r>
        <w:rPr>
          <w:rStyle w:val="17"/>
          <w:sz w:val="24"/>
          <w:szCs w:val="28"/>
        </w:rPr>
        <w:t>https://new.qq.com/rain/a/20230117A081YB00</w:t>
      </w:r>
      <w:r>
        <w:rPr>
          <w:rStyle w:val="17"/>
          <w:sz w:val="24"/>
          <w:szCs w:val="28"/>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楷体" w:hAnsi="楷体" w:eastAsia="楷体" w:cs="楷体"/>
          <w:sz w:val="24"/>
          <w:szCs w:val="24"/>
          <w:shd w:val="clear" w:color="auto" w:fill="FFFFFF"/>
        </w:rPr>
      </w:pPr>
      <w:r>
        <w:rPr>
          <w:rFonts w:hint="eastAsia" w:ascii="楷体" w:hAnsi="楷体" w:eastAsia="楷体" w:cs="楷体"/>
          <w:sz w:val="24"/>
          <w:szCs w:val="24"/>
          <w:shd w:val="clear" w:color="auto" w:fill="FFFFFF"/>
        </w:rPr>
        <w:t>自称其家属的人公开披露长文是求证公募基金在发行运作过程中是否存在主观上故意搞庞氏骗</w:t>
      </w:r>
      <w:r>
        <w:rPr>
          <w:rFonts w:hint="eastAsia" w:ascii="楷体" w:hAnsi="楷体" w:eastAsia="楷体" w:cs="楷体"/>
          <w:sz w:val="24"/>
          <w:szCs w:val="24"/>
          <w:shd w:val="clear" w:color="auto" w:fill="FFFFFF"/>
          <w:lang w:eastAsia="zh"/>
        </w:rPr>
        <w:t>局的</w:t>
      </w:r>
      <w:r>
        <w:rPr>
          <w:rFonts w:hint="eastAsia" w:ascii="楷体" w:hAnsi="楷体" w:eastAsia="楷体" w:cs="楷体"/>
          <w:sz w:val="24"/>
          <w:szCs w:val="24"/>
          <w:shd w:val="clear" w:color="auto" w:fill="FFFFFF"/>
        </w:rPr>
        <w:t>宝贵契机。在这篇长文中确认了几个事实。</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ascii="楷体" w:hAnsi="楷体" w:eastAsia="楷体" w:cs="楷体"/>
          <w:b/>
          <w:bCs/>
          <w:sz w:val="24"/>
          <w:szCs w:val="24"/>
          <w:shd w:val="clear" w:color="auto" w:fill="FFFFFF"/>
        </w:rPr>
      </w:pPr>
      <w:r>
        <w:rPr>
          <w:rFonts w:hint="eastAsia" w:ascii="楷体" w:hAnsi="楷体" w:eastAsia="楷体" w:cs="楷体"/>
          <w:b/>
          <w:bCs/>
          <w:sz w:val="24"/>
          <w:szCs w:val="24"/>
          <w:shd w:val="clear" w:color="auto" w:fill="FFFFFF"/>
        </w:rPr>
        <w:t>事实一：基金公司明知基金经理患有严重抑郁症，仍旧让他执掌基金管理。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楷体" w:hAnsi="楷体" w:eastAsia="楷体" w:cs="楷体"/>
          <w:sz w:val="24"/>
          <w:szCs w:val="24"/>
          <w:shd w:val="clear" w:color="auto" w:fill="FFFFFF"/>
        </w:rPr>
      </w:pPr>
      <w:r>
        <w:rPr>
          <w:rFonts w:hint="eastAsia" w:ascii="楷体" w:hAnsi="楷体" w:eastAsia="楷体" w:cs="楷体"/>
          <w:sz w:val="24"/>
          <w:szCs w:val="24"/>
          <w:shd w:val="clear" w:color="auto" w:fill="FFFFFF"/>
        </w:rPr>
        <w:t>自称蔡向阳家属的人公开发帖公布：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楷体" w:hAnsi="楷体" w:eastAsia="楷体" w:cs="楷体"/>
          <w:i/>
          <w:iCs/>
          <w:sz w:val="24"/>
          <w:szCs w:val="24"/>
          <w:shd w:val="clear" w:color="auto" w:fill="FFFFFF"/>
        </w:rPr>
      </w:pPr>
      <w:r>
        <w:rPr>
          <w:rFonts w:hint="eastAsia" w:ascii="楷体" w:hAnsi="楷体" w:eastAsia="楷体" w:cs="楷体"/>
          <w:i/>
          <w:iCs/>
          <w:sz w:val="24"/>
          <w:szCs w:val="24"/>
          <w:shd w:val="clear" w:color="auto" w:fill="FFFFFF"/>
        </w:rPr>
        <w:t>“蔡向阳在2021 年 9 月公司体检中查出抑郁症。2021 年 10 月蔡向阳已经重度</w:t>
      </w:r>
      <w:r>
        <w:rPr>
          <w:rFonts w:hint="eastAsia" w:ascii="楷体" w:hAnsi="楷体" w:eastAsia="楷体" w:cs="楷体"/>
          <w:i/>
          <w:iCs/>
          <w:sz w:val="24"/>
          <w:szCs w:val="24"/>
          <w:shd w:val="clear" w:color="auto" w:fill="FFFFFF"/>
          <w:lang w:eastAsia="zh"/>
        </w:rPr>
        <w:t>抑郁症</w:t>
      </w:r>
      <w:r>
        <w:rPr>
          <w:rFonts w:hint="eastAsia" w:ascii="楷体" w:hAnsi="楷体" w:eastAsia="楷体" w:cs="楷体"/>
          <w:i/>
          <w:iCs/>
          <w:sz w:val="24"/>
          <w:szCs w:val="24"/>
          <w:shd w:val="clear" w:color="auto" w:fill="FFFFFF"/>
        </w:rPr>
        <w:t>，希望暂时离开工作岗位去休假一两个月，恢复身心健康。但领导对此请求并没有给予支持，反倒用言语否定他和刺激他。就这样，他努力求生的最后一根稻草也没有了，最后崩溃而走上了轻生的绝路。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楷体" w:hAnsi="楷体" w:eastAsia="楷体" w:cs="楷体"/>
          <w:sz w:val="24"/>
          <w:szCs w:val="24"/>
          <w:shd w:val="clear" w:color="auto" w:fill="FFFFFF"/>
        </w:rPr>
      </w:pPr>
      <w:r>
        <w:rPr>
          <w:rFonts w:hint="eastAsia" w:ascii="楷体" w:hAnsi="楷体" w:eastAsia="楷体" w:cs="楷体"/>
          <w:sz w:val="24"/>
          <w:szCs w:val="24"/>
          <w:shd w:val="clear" w:color="auto" w:fill="FFFFFF"/>
        </w:rPr>
        <w:t>自称</w:t>
      </w:r>
      <w:r>
        <w:rPr>
          <w:rFonts w:hint="eastAsia" w:ascii="楷体" w:hAnsi="楷体" w:eastAsia="楷体" w:cs="楷体"/>
          <w:sz w:val="24"/>
          <w:szCs w:val="24"/>
        </w:rPr>
        <w:t>蔡向阳家属的公开信内容表明，蔡向阳本人和华夏基金公司都知道蔡向阳已经患有严重的抑郁症。2021年11月蔡自杀的事实也证明其确实患有严重抑郁症，严重抑郁症在日常是会表现出来很多不正常症状，周围人是容易感受到的！华夏基金公司知道蔡向阳患抑郁症是符合逻辑的。这就出现了一个极为严重的问题，华夏基金公司在知道蔡向阳患抑郁症，仍旧让其担任基金经理管理几百亿公共资金，</w:t>
      </w:r>
      <w:r>
        <w:rPr>
          <w:rFonts w:hint="eastAsia" w:ascii="楷体" w:hAnsi="楷体" w:eastAsia="楷体" w:cs="楷体"/>
          <w:sz w:val="24"/>
          <w:szCs w:val="24"/>
          <w:shd w:val="clear" w:color="auto" w:fill="FFFFFF"/>
        </w:rPr>
        <w:t>此时华夏基金如同航空公司明知机长已经患了严重抑郁症后，且机长已经请求休息和换人的情况下，拒绝换人仍旧让患有严重抑郁症的机长驾驶客机！这种明显违反常识和常理，明显不利于基金出资人利益的做法，基金公司却一定要这样做，以至于闹出人命来，如此异常原因何在？？</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ascii="楷体" w:hAnsi="楷体" w:eastAsia="楷体" w:cs="楷体"/>
          <w:sz w:val="24"/>
          <w:szCs w:val="24"/>
        </w:rPr>
      </w:pPr>
      <w:r>
        <w:rPr>
          <w:rFonts w:hint="eastAsia" w:ascii="楷体" w:hAnsi="楷体" w:eastAsia="楷体" w:cs="楷体"/>
          <w:b/>
          <w:bCs/>
          <w:sz w:val="24"/>
          <w:szCs w:val="24"/>
        </w:rPr>
        <w:t>追问：当基金经理患了严重抑郁症，立即更换基金经理是基金公司的法定义务和责任。关系重大公共利益的基金经理更不能允许抑郁症患者担当！这是基本的资产管理行业法规决定的！为什么华夏基金不换已经严重抑郁的基金经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楷体" w:hAnsi="楷体" w:eastAsia="楷体" w:cs="楷体"/>
          <w:sz w:val="24"/>
          <w:szCs w:val="24"/>
        </w:rPr>
      </w:pPr>
      <w:r>
        <w:rPr>
          <w:rFonts w:hint="eastAsia" w:ascii="楷体" w:hAnsi="楷体" w:eastAsia="楷体" w:cs="楷体"/>
          <w:sz w:val="24"/>
          <w:szCs w:val="24"/>
        </w:rPr>
        <w:t>理解患严重抑郁症的人管理基金的风险没什么难度，这是任何一个基金公司领导自然都会意识到的。不可能华夏基金公司的高级管理层不知道让患严重抑郁症的人管理几百亿的公共资金的可怕之处和严重风险。但是为什么在现实中，我们看到的事实是蔡向阳到自杀时仍旧是基金经理，华夏基金公司为什么违反常识常理不让蔡向阳休养，这是一个需要调查清楚的重要问题。该问题的答案有可能包含在自称蔡向阳家属的这段话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楷体" w:hAnsi="楷体" w:eastAsia="楷体" w:cs="楷体"/>
          <w:i/>
          <w:iCs/>
          <w:sz w:val="24"/>
          <w:szCs w:val="24"/>
          <w:shd w:val="clear" w:color="auto" w:fill="FFFFFF"/>
        </w:rPr>
      </w:pPr>
      <w:r>
        <w:rPr>
          <w:rFonts w:hint="eastAsia" w:ascii="楷体" w:hAnsi="楷体" w:eastAsia="楷体" w:cs="楷体"/>
          <w:i/>
          <w:iCs/>
          <w:sz w:val="24"/>
          <w:szCs w:val="24"/>
          <w:shd w:val="clear" w:color="auto" w:fill="FFFFFF"/>
        </w:rPr>
        <w:t>“公司无节制</w:t>
      </w:r>
      <w:r>
        <w:rPr>
          <w:rFonts w:hint="eastAsia" w:ascii="楷体" w:hAnsi="楷体" w:eastAsia="楷体" w:cs="楷体"/>
          <w:i/>
          <w:iCs/>
          <w:sz w:val="24"/>
          <w:szCs w:val="24"/>
          <w:shd w:val="clear" w:color="auto" w:fill="FFFFFF"/>
          <w:lang w:eastAsia="zh"/>
        </w:rPr>
        <w:t>地</w:t>
      </w:r>
      <w:r>
        <w:rPr>
          <w:rFonts w:hint="eastAsia" w:ascii="楷体" w:hAnsi="楷体" w:eastAsia="楷体" w:cs="楷体"/>
          <w:i/>
          <w:iCs/>
          <w:sz w:val="24"/>
          <w:szCs w:val="24"/>
          <w:shd w:val="clear" w:color="auto" w:fill="FFFFFF"/>
        </w:rPr>
        <w:t>追求管理费收入，无视短期管理规模膨胀给基金经理带来的巨大管理压力，漠视宏观政策巨大调整对价值型基金经理投资极端不利情景下，可能会给基民造成亏损的巨大风险，盲目让蔡向阳在短期内发行众多基金新产品以扩大基金规模。2020 年蔡向阳大规模发行了 3 只封闭式基金，管理规模已经巨幅膨胀，在 2021 年初蔡向阳管理规模已高达 460 亿的极限规模的基础上，公司仍不顾每况愈下的大环境，不考虑因此基民将面临亏损的风险，继续要求蔡向阳在 2021 年大规模发行了 4 只总规模近 200 亿的封闭式基金产品，封闭基金将基金经理与基民捆绑，让基民不能自主决定赎回，从而强制性收取高额的基金管理费。”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楷体" w:hAnsi="楷体" w:eastAsia="楷体" w:cs="楷体"/>
          <w:sz w:val="24"/>
          <w:szCs w:val="24"/>
          <w:shd w:val="clear" w:color="auto" w:fill="FFFFFF"/>
        </w:rPr>
      </w:pPr>
      <w:r>
        <w:rPr>
          <w:rFonts w:hint="eastAsia" w:ascii="楷体" w:hAnsi="楷体" w:eastAsia="楷体" w:cs="楷体"/>
          <w:sz w:val="24"/>
          <w:szCs w:val="24"/>
          <w:shd w:val="clear" w:color="auto" w:fill="FFFFFF"/>
        </w:rPr>
        <w:t>蔡的家属发文还指出蔡向阳对华夏基金的经营收入至关重要，是华夏基金重要的收入来源，家属写道：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楷体" w:hAnsi="楷体" w:eastAsia="楷体" w:cs="楷体"/>
          <w:i/>
          <w:iCs/>
          <w:sz w:val="24"/>
          <w:szCs w:val="24"/>
          <w:shd w:val="clear" w:color="auto" w:fill="FFFFFF"/>
        </w:rPr>
      </w:pPr>
      <w:r>
        <w:rPr>
          <w:rFonts w:hint="eastAsia" w:ascii="楷体" w:hAnsi="楷体" w:eastAsia="楷体" w:cs="楷体"/>
          <w:i/>
          <w:iCs/>
          <w:sz w:val="24"/>
          <w:szCs w:val="24"/>
          <w:shd w:val="clear" w:color="auto" w:fill="FFFFFF"/>
        </w:rPr>
        <w:t>“蔡向阳是华夏基金的顶梁柱。他是管理规模超 600 亿的顶流基金经理。2020 年为公司创造了近 1/7 的收入。2021 年为华夏基金带来约 7.5 亿的管理费收入。占整个公司收入的 1/10 左右。”</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ascii="楷体" w:hAnsi="楷体" w:eastAsia="楷体" w:cs="楷体"/>
          <w:b/>
          <w:bCs/>
          <w:sz w:val="24"/>
          <w:szCs w:val="24"/>
          <w:shd w:val="clear" w:color="auto" w:fill="FFFFFF"/>
        </w:rPr>
      </w:pPr>
      <w:r>
        <w:rPr>
          <w:rFonts w:hint="eastAsia" w:ascii="楷体" w:hAnsi="楷体" w:eastAsia="楷体" w:cs="楷体"/>
          <w:b/>
          <w:bCs/>
          <w:sz w:val="24"/>
          <w:szCs w:val="24"/>
          <w:shd w:val="clear" w:color="auto" w:fill="FFFFFF"/>
        </w:rPr>
        <w:t>家属的话揭示蔡在募集资金时有募集号召力和影响力，募集完成后蔡有稳定资金的作用和价值，离职会使基金规模发生缩减。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楷体" w:hAnsi="楷体" w:eastAsia="楷体" w:cs="楷体"/>
          <w:b/>
          <w:bCs/>
          <w:sz w:val="24"/>
          <w:szCs w:val="24"/>
        </w:rPr>
      </w:pPr>
      <w:r>
        <w:rPr>
          <w:rFonts w:hint="eastAsia" w:ascii="楷体" w:hAnsi="楷体" w:eastAsia="楷体" w:cs="楷体"/>
          <w:sz w:val="24"/>
          <w:szCs w:val="24"/>
          <w:shd w:val="clear" w:color="auto" w:fill="FFFFFF"/>
        </w:rPr>
        <w:t>这里存在一种可能，如果让出资人知道蔡患了严重抑郁症不再成为基金经理，以蔡为基金经理基金的出资人可能会赎回，不让蔡休养就能避免基金出资人知道蔡患了严重的抑郁症，就能避免基金出资人可能的赎回。这里存在一种可能</w:t>
      </w:r>
      <w:r>
        <w:rPr>
          <w:rFonts w:hint="eastAsia" w:ascii="楷体" w:hAnsi="楷体" w:eastAsia="楷体" w:cs="楷体"/>
          <w:b/>
          <w:bCs/>
          <w:sz w:val="24"/>
          <w:szCs w:val="24"/>
          <w:shd w:val="clear" w:color="auto" w:fill="FFFFFF"/>
        </w:rPr>
        <w:t>不让蔡休养是通过损害基金经理的合法因病</w:t>
      </w:r>
      <w:r>
        <w:rPr>
          <w:rFonts w:hint="eastAsia" w:ascii="楷体" w:hAnsi="楷体" w:eastAsia="楷体" w:cs="楷体"/>
          <w:b/>
          <w:bCs/>
          <w:sz w:val="24"/>
          <w:szCs w:val="24"/>
          <w:shd w:val="clear" w:color="auto" w:fill="FFFFFF"/>
          <w:lang w:eastAsia="zh"/>
        </w:rPr>
        <w:t>休养</w:t>
      </w:r>
      <w:r>
        <w:rPr>
          <w:rFonts w:hint="eastAsia" w:ascii="楷体" w:hAnsi="楷体" w:eastAsia="楷体" w:cs="楷体"/>
          <w:b/>
          <w:bCs/>
          <w:sz w:val="24"/>
          <w:szCs w:val="24"/>
          <w:shd w:val="clear" w:color="auto" w:fill="FFFFFF"/>
        </w:rPr>
        <w:t>的权力，损害基金出资人的利益，实现基金公司的利益！</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楷体" w:hAnsi="楷体" w:eastAsia="楷体" w:cs="楷体"/>
          <w:sz w:val="24"/>
          <w:szCs w:val="24"/>
        </w:rPr>
      </w:pPr>
      <w:r>
        <w:rPr>
          <w:rFonts w:hint="eastAsia" w:ascii="楷体" w:hAnsi="楷体" w:eastAsia="楷体" w:cs="楷体"/>
          <w:sz w:val="24"/>
          <w:szCs w:val="24"/>
        </w:rPr>
        <w:t>蔡向阳的家属在公开信息中写道：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楷体" w:hAnsi="楷体" w:eastAsia="楷体" w:cs="楷体"/>
          <w:i/>
          <w:iCs/>
          <w:sz w:val="24"/>
          <w:szCs w:val="24"/>
          <w:shd w:val="clear" w:color="auto" w:fill="FFFFFF"/>
        </w:rPr>
      </w:pPr>
      <w:r>
        <w:rPr>
          <w:rFonts w:hint="eastAsia" w:ascii="楷体" w:hAnsi="楷体" w:eastAsia="楷体" w:cs="楷体"/>
          <w:i/>
          <w:iCs/>
          <w:sz w:val="24"/>
          <w:szCs w:val="24"/>
        </w:rPr>
        <w:t>“</w:t>
      </w:r>
      <w:r>
        <w:rPr>
          <w:rFonts w:hint="eastAsia" w:ascii="楷体" w:hAnsi="楷体" w:eastAsia="楷体" w:cs="楷体"/>
          <w:i/>
          <w:iCs/>
          <w:sz w:val="24"/>
          <w:szCs w:val="24"/>
          <w:shd w:val="clear" w:color="auto" w:fill="FFFFFF"/>
        </w:rPr>
        <w:t>公司无节制</w:t>
      </w:r>
      <w:r>
        <w:rPr>
          <w:rFonts w:hint="eastAsia" w:ascii="楷体" w:hAnsi="楷体" w:eastAsia="楷体" w:cs="楷体"/>
          <w:i/>
          <w:iCs/>
          <w:sz w:val="24"/>
          <w:szCs w:val="24"/>
          <w:shd w:val="clear" w:color="auto" w:fill="FFFFFF"/>
          <w:lang w:eastAsia="zh"/>
        </w:rPr>
        <w:t>地</w:t>
      </w:r>
      <w:r>
        <w:rPr>
          <w:rFonts w:hint="eastAsia" w:ascii="楷体" w:hAnsi="楷体" w:eastAsia="楷体" w:cs="楷体"/>
          <w:i/>
          <w:iCs/>
          <w:sz w:val="24"/>
          <w:szCs w:val="24"/>
          <w:shd w:val="clear" w:color="auto" w:fill="FFFFFF"/>
        </w:rPr>
        <w:t>追求管理费收入，无视短期管理规模膨胀给基金经理带来的巨大管理压力，漠视宏观政策巨大调整对价值型基金经理投资极端不利情景下，可能会给基民造成亏损的巨大风险，盲目让蔡向阳在短期内发行众多基金新产品以扩大基金规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楷体" w:hAnsi="楷体" w:eastAsia="楷体" w:cs="楷体"/>
          <w:sz w:val="24"/>
          <w:szCs w:val="24"/>
        </w:rPr>
      </w:pPr>
      <w:r>
        <w:rPr>
          <w:rFonts w:hint="eastAsia" w:ascii="楷体" w:hAnsi="楷体" w:eastAsia="楷体" w:cs="楷体"/>
          <w:sz w:val="24"/>
          <w:szCs w:val="24"/>
          <w:shd w:val="clear" w:color="auto" w:fill="FFFFFF"/>
        </w:rPr>
        <w:t>蔡家属的话中其实已经指出，相关基金公司目的不纯，不是站在出资人的利益上而是站在自己单方面利益上，以违反资产管理专业性和不利于出资人，只有利于基金公司利益为指导原则发基金！说的这种情况其实就是故意搞庞氏骗局。在蔡向阳事件中家属的公开信中，通过过程描述指责公司故意</w:t>
      </w:r>
      <w:r>
        <w:rPr>
          <w:rFonts w:hint="eastAsia" w:ascii="楷体" w:hAnsi="楷体" w:eastAsia="楷体" w:cs="楷体"/>
          <w:sz w:val="24"/>
          <w:szCs w:val="24"/>
          <w:shd w:val="clear" w:color="auto" w:fill="FFFFFF"/>
          <w:lang w:eastAsia="zh"/>
        </w:rPr>
        <w:t>地</w:t>
      </w:r>
      <w:r>
        <w:rPr>
          <w:rFonts w:hint="eastAsia" w:ascii="楷体" w:hAnsi="楷体" w:eastAsia="楷体" w:cs="楷体"/>
          <w:sz w:val="24"/>
          <w:szCs w:val="24"/>
          <w:shd w:val="clear" w:color="auto" w:fill="FFFFFF"/>
        </w:rPr>
        <w:t>不顾出资人利益，不顾基金经理的生命健康，为了基金公司利益故意搞庞氏骗局。对于家属的这个观点和指责，相关监管机构应该启动</w:t>
      </w:r>
      <w:r>
        <w:rPr>
          <w:rFonts w:hint="eastAsia" w:ascii="楷体" w:hAnsi="楷体" w:eastAsia="楷体" w:cs="楷体"/>
          <w:sz w:val="24"/>
          <w:szCs w:val="24"/>
        </w:rPr>
        <w:t>调查。由官方机构的调查来揭开事情背后是否存在着一个主观故意搞庞氏骗局的发行机制。</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ascii="楷体" w:hAnsi="楷体" w:eastAsia="楷体" w:cs="楷体"/>
          <w:b/>
          <w:bCs/>
          <w:sz w:val="24"/>
          <w:szCs w:val="24"/>
        </w:rPr>
      </w:pPr>
      <w:r>
        <w:rPr>
          <w:rFonts w:hint="eastAsia" w:ascii="楷体" w:hAnsi="楷体" w:eastAsia="楷体" w:cs="楷体"/>
          <w:b/>
          <w:bCs/>
          <w:sz w:val="24"/>
          <w:szCs w:val="24"/>
        </w:rPr>
        <w:t>基金经理已经患抑郁症时，基金公司不换人的原因不正常到无法想象，其背后的原因不会很简单。背后原因存在着极大的可能性是：已经被打造成明星基金经理的形象是吸引资金</w:t>
      </w:r>
      <w:r>
        <w:rPr>
          <w:rFonts w:hint="eastAsia" w:ascii="楷体" w:hAnsi="楷体" w:eastAsia="楷体" w:cs="楷体"/>
          <w:b/>
          <w:bCs/>
          <w:sz w:val="24"/>
          <w:szCs w:val="24"/>
          <w:lang w:eastAsia="zh"/>
        </w:rPr>
        <w:t>，是</w:t>
      </w:r>
      <w:r>
        <w:rPr>
          <w:rFonts w:hint="eastAsia" w:ascii="楷体" w:hAnsi="楷体" w:eastAsia="楷体" w:cs="楷体"/>
          <w:b/>
          <w:bCs/>
          <w:sz w:val="24"/>
          <w:szCs w:val="24"/>
        </w:rPr>
        <w:t>募集资金的前提和重要依靠，为了募集资金为了让基金公司拥有更多的管理规模，就不能让自己精心设计制造出来的“股神”患上抑郁症，“股神”如果被大众知道患了抑郁症，基金公司打造出的“股神”就失效了，前期投入就打了水漂，基金公司的利益就受损了。基金需要这个被打造出来的传奇基金经理始终不脱离岗位，哪怕他已经没有从事工作的客观条件也必须强撑，以维护公众的信心，这种维护其实是欺骗出资人和社会。</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楷体" w:hAnsi="楷体" w:eastAsia="楷体" w:cs="楷体"/>
          <w:b/>
          <w:bCs/>
          <w:sz w:val="24"/>
          <w:szCs w:val="24"/>
        </w:rPr>
      </w:pPr>
      <w:r>
        <w:rPr>
          <w:rFonts w:hint="eastAsia" w:ascii="楷体" w:hAnsi="楷体" w:eastAsia="楷体" w:cs="楷体"/>
          <w:b/>
          <w:bCs/>
          <w:sz w:val="24"/>
          <w:szCs w:val="24"/>
        </w:rPr>
        <w:t>无论如何，在蔡向阳自杀已经三年之后的1000多天里，没有任何官方调查，蔡向阳是一个管理几百亿公共资金、服务几百万个社会大众的资金的著名基金经理，他在任职期间工作时间在公司自杀身亡，其家属也已经公开在网上发了长文揭露了很多涉及公共利益，对中国公募基金管理业健康至关重要的信息，但这么长时间没有任何官方介入，这不能不说是一种和蔡向阳作为基金经理在岗期间自杀一样，令人难以理解的事情。必须官方启动调查，因为这个事件背后包含着是否公募基金，在发行运营过程中存在着只追求实现自己利益，完全不顾客户利益，也不顾基金经理健康的行为，如果有这种行为，这种行为其实就是庞氏骗局。</w:t>
      </w:r>
      <w:bookmarkStart w:id="13" w:name="_Toc28351"/>
    </w:p>
    <w:p>
      <w:pPr>
        <w:pStyle w:val="3"/>
        <w:numPr>
          <w:ilvl w:val="0"/>
          <w:numId w:val="2"/>
        </w:numPr>
        <w:shd w:val="clear" w:color="auto" w:fill="FFFFFF"/>
        <w:adjustRightInd w:val="0"/>
        <w:jc w:val="both"/>
      </w:pPr>
      <w:r>
        <w:t>带</w:t>
      </w:r>
      <w:r>
        <w:rPr>
          <w:rFonts w:hint="eastAsia"/>
          <w:lang w:eastAsia="zh"/>
        </w:rPr>
        <w:t>“</w:t>
      </w:r>
      <w:r>
        <w:t>毒</w:t>
      </w:r>
      <w:r>
        <w:rPr>
          <w:rFonts w:hint="eastAsia"/>
          <w:lang w:eastAsia="zh"/>
        </w:rPr>
        <w:t>”</w:t>
      </w:r>
      <w:r>
        <w:t>的割韭菜盈利模式主流化让中国股市出现生态危机</w:t>
      </w:r>
      <w:bookmarkEnd w:id="13"/>
    </w:p>
    <w:p>
      <w:pPr>
        <w:pStyle w:val="6"/>
        <w:keepNext w:val="0"/>
        <w:keepLines w:val="0"/>
        <w:pageBreakBefore w:val="0"/>
        <w:widowControl/>
        <w:kinsoku/>
        <w:wordWrap/>
        <w:overflowPunct/>
        <w:topLinePunct w:val="0"/>
        <w:autoSpaceDE/>
        <w:autoSpaceDN/>
        <w:bidi w:val="0"/>
        <w:adjustRightInd w:val="0"/>
        <w:snapToGrid/>
        <w:spacing w:before="0" w:beforeLines="50" w:line="240" w:lineRule="auto"/>
        <w:jc w:val="both"/>
        <w:textAlignment w:val="auto"/>
        <w:rPr>
          <w:color w:val="000000"/>
        </w:rPr>
      </w:pPr>
      <w:r>
        <w:drawing>
          <wp:inline distT="0" distB="0" distL="114300" distR="114300">
            <wp:extent cx="5725795" cy="5236845"/>
            <wp:effectExtent l="0" t="0" r="4445" b="5715"/>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pic:cNvPicPr>
                      <a:picLocks noChangeAspect="1"/>
                    </pic:cNvPicPr>
                  </pic:nvPicPr>
                  <pic:blipFill>
                    <a:blip r:embed="rId64"/>
                    <a:stretch>
                      <a:fillRect/>
                    </a:stretch>
                  </pic:blipFill>
                  <pic:spPr>
                    <a:xfrm>
                      <a:off x="0" y="0"/>
                      <a:ext cx="5725795" cy="5236845"/>
                    </a:xfrm>
                    <a:prstGeom prst="rect">
                      <a:avLst/>
                    </a:prstGeom>
                    <a:noFill/>
                    <a:ln>
                      <a:noFill/>
                    </a:ln>
                  </pic:spPr>
                </pic:pic>
              </a:graphicData>
            </a:graphic>
          </wp:inline>
        </w:drawing>
      </w:r>
    </w:p>
    <w:p>
      <w:pPr>
        <w:shd w:val="clear" w:color="auto" w:fill="FFFFFF"/>
        <w:adjustRightInd w:val="0"/>
        <w:spacing w:line="360" w:lineRule="auto"/>
        <w:ind w:firstLine="482" w:firstLineChars="200"/>
        <w:jc w:val="both"/>
        <w:rPr>
          <w:rFonts w:hint="eastAsia" w:ascii="楷体" w:hAnsi="楷体" w:eastAsia="楷体" w:cs="楷体"/>
          <w:b/>
          <w:bCs/>
          <w:sz w:val="24"/>
          <w:szCs w:val="24"/>
          <w:shd w:val="clear" w:color="auto" w:fill="FFFFFF"/>
          <w:lang w:bidi="ar"/>
        </w:rPr>
      </w:pPr>
      <w:r>
        <w:rPr>
          <w:rFonts w:hint="eastAsia" w:ascii="楷体" w:hAnsi="楷体" w:eastAsia="楷体" w:cs="楷体"/>
          <w:b/>
          <w:bCs/>
          <w:sz w:val="24"/>
          <w:szCs w:val="24"/>
          <w:shd w:val="clear" w:color="auto" w:fill="FFFFFF"/>
          <w:lang w:bidi="ar"/>
        </w:rPr>
        <w:t>中国股市真正的问题是我在</w:t>
      </w:r>
      <w:r>
        <w:rPr>
          <w:rFonts w:hint="eastAsia" w:ascii="楷体" w:hAnsi="楷体" w:eastAsia="楷体" w:cs="楷体"/>
          <w:b/>
          <w:bCs/>
          <w:sz w:val="24"/>
          <w:szCs w:val="24"/>
          <w:shd w:val="clear" w:color="auto" w:fill="FFFFFF"/>
          <w:lang w:val="en-US" w:eastAsia="zh-CN" w:bidi="ar"/>
        </w:rPr>
        <w:t>上面的</w:t>
      </w:r>
      <w:r>
        <w:rPr>
          <w:rFonts w:hint="eastAsia" w:ascii="楷体" w:hAnsi="楷体" w:eastAsia="楷体" w:cs="楷体"/>
          <w:b/>
          <w:bCs/>
          <w:sz w:val="24"/>
          <w:szCs w:val="24"/>
          <w:shd w:val="clear" w:color="auto" w:fill="FFFFFF"/>
          <w:lang w:bidi="ar"/>
        </w:rPr>
        <w:t>图形中所画的，问题产生的根源是市场长期估值不合理，估</w:t>
      </w:r>
      <w:r>
        <w:rPr>
          <w:rFonts w:hint="eastAsia" w:ascii="楷体" w:hAnsi="楷体" w:eastAsia="楷体" w:cs="楷体"/>
          <w:b/>
          <w:bCs/>
          <w:sz w:val="24"/>
          <w:szCs w:val="24"/>
          <w:shd w:val="clear" w:color="auto" w:fill="FFFFFF"/>
          <w:lang w:eastAsia="zh" w:bidi="ar"/>
        </w:rPr>
        <w:t>值长期不合理的原因</w:t>
      </w:r>
      <w:r>
        <w:rPr>
          <w:rFonts w:hint="eastAsia" w:ascii="楷体" w:hAnsi="楷体" w:eastAsia="楷体" w:cs="楷体"/>
          <w:b/>
          <w:bCs/>
          <w:sz w:val="24"/>
          <w:szCs w:val="24"/>
          <w:shd w:val="clear" w:color="auto" w:fill="FFFFFF"/>
          <w:lang w:bidi="ar"/>
        </w:rPr>
        <w:t>是主流机构的盈利模式不需要践行价值规律，不需要靠推动估值合理来实现机构投</w:t>
      </w:r>
      <w:r>
        <w:rPr>
          <w:rFonts w:hint="eastAsia" w:ascii="楷体" w:hAnsi="楷体" w:eastAsia="楷体" w:cs="楷体"/>
          <w:b/>
          <w:bCs/>
          <w:sz w:val="24"/>
          <w:szCs w:val="24"/>
          <w:shd w:val="clear" w:color="auto" w:fill="FFFFFF"/>
          <w:lang w:eastAsia="zh" w:bidi="ar"/>
        </w:rPr>
        <w:t>资者</w:t>
      </w:r>
      <w:r>
        <w:rPr>
          <w:rFonts w:hint="eastAsia" w:ascii="楷体" w:hAnsi="楷体" w:eastAsia="楷体" w:cs="楷体"/>
          <w:b/>
          <w:bCs/>
          <w:sz w:val="24"/>
          <w:szCs w:val="24"/>
          <w:shd w:val="clear" w:color="auto" w:fill="FFFFFF"/>
          <w:lang w:bidi="ar"/>
        </w:rPr>
        <w:t>的利益，机构主流的资金和机构投资者形成了各种各样的割韭菜盈利模式，通过股票市场收割其他主体，主要是收割社会大众实现获得比践行价值投资，推动估值合理，高得多的多的超额盈利。由此股票市场变成强势主体收割大众的场所了，市场变成了收割的一个工具了，这就是中国股市长期困难重重、周期性崩溃的根本原因，那些问题，只是主流资金不靠践行价值规律获利，而是靠收割大众获利这个内在深层矛盾的外在表现形式而已！</w:t>
      </w:r>
    </w:p>
    <w:p>
      <w:pPr>
        <w:shd w:val="clear" w:color="auto" w:fill="FFFFFF"/>
        <w:adjustRightInd w:val="0"/>
        <w:spacing w:line="360" w:lineRule="auto"/>
        <w:ind w:firstLine="482" w:firstLineChars="200"/>
        <w:jc w:val="both"/>
        <w:rPr>
          <w:rFonts w:ascii="楷体" w:hAnsi="楷体" w:eastAsia="楷体" w:cs="楷体"/>
          <w:b/>
          <w:bCs/>
          <w:shd w:val="clear" w:color="auto" w:fill="FFFFFF"/>
          <w:lang w:bidi="ar"/>
        </w:rPr>
      </w:pPr>
      <w:r>
        <w:rPr>
          <w:rFonts w:hint="eastAsia" w:ascii="楷体" w:hAnsi="楷体" w:eastAsia="楷体" w:cs="楷体"/>
          <w:b/>
          <w:bCs/>
          <w:sz w:val="24"/>
          <w:szCs w:val="24"/>
        </w:rPr>
        <w:t>本质的原因是资本市场机构投资者割韭菜盈利模式主流化，形成严重错误定价和估值扭曲，错误定价和估值扭曲向实体经济发出错误价格信号。</w:t>
      </w:r>
      <w:r>
        <w:rPr>
          <w:rFonts w:hint="eastAsia" w:ascii="楷体" w:hAnsi="楷体" w:eastAsia="楷体" w:cs="楷体"/>
          <w:sz w:val="24"/>
          <w:szCs w:val="24"/>
        </w:rPr>
        <w:t>最一般的金融和经济学原理指出金融市场形成的价格</w:t>
      </w:r>
      <w:r>
        <w:rPr>
          <w:rFonts w:hint="eastAsia" w:ascii="楷体" w:hAnsi="楷体" w:eastAsia="楷体" w:cs="楷体"/>
          <w:sz w:val="24"/>
          <w:szCs w:val="24"/>
          <w:lang w:eastAsia="zh"/>
        </w:rPr>
        <w:t>再强烈地</w:t>
      </w:r>
      <w:r>
        <w:rPr>
          <w:rFonts w:hint="eastAsia" w:ascii="楷体" w:hAnsi="楷体" w:eastAsia="楷体" w:cs="楷体"/>
          <w:sz w:val="24"/>
          <w:szCs w:val="24"/>
        </w:rPr>
        <w:t>影响实体经济，比如在农产品期货市场形成的各类农产品的期货价格</w:t>
      </w:r>
      <w:r>
        <w:rPr>
          <w:rFonts w:hint="eastAsia" w:ascii="楷体" w:hAnsi="楷体" w:eastAsia="楷体" w:cs="楷体"/>
          <w:sz w:val="24"/>
          <w:szCs w:val="24"/>
          <w:lang w:eastAsia="zh"/>
        </w:rPr>
        <w:t>再强烈地</w:t>
      </w:r>
      <w:r>
        <w:rPr>
          <w:rFonts w:hint="eastAsia" w:ascii="楷体" w:hAnsi="楷体" w:eastAsia="楷体" w:cs="楷体"/>
          <w:sz w:val="24"/>
          <w:szCs w:val="24"/>
        </w:rPr>
        <w:t>影响农业生产，如果农产品期货价格高，相关农作物的种植量就会增加，价格低种植量就会减少。如果农产品期货市场形成的价格是合理正确的，合理正确的价格就促进推动了农业经济的健康发展，如果农产品期货价格是错误扭曲的，本来已经生产过剩了，但是由于农产品期货市场的主流资金为了获得操纵利益制造价格泡沫，在生产已经过剩的情况下把价格炒高，这时错误价格就会把本已过剩的农业种植量再次放大形成更严重过剩，导致农民严重损失和农业生产的倒退。股票市场也是一样，每一家上市公司的估值定价如果是合理健康的，就会有效地影响推动实业经济的健康发展，如果行业已经是严重生产过剩，但二级市场有定价权的机构投资者，立足于自身利益最大化利用定价权优势操纵股价上涨，股票价格猛涨形成高估值，会引发实体经济在过剩的情况下再次扩张产能，最终错误的价格信号导致实体经济危机，实体经济作为股票市场的长期基础，在受到股票市场错误定价的影响出现问题后，又反过来加剧了股票市场的危机。会导致实体经济和股票市场双崩溃。反之如果实体经济某些产业产能不足，但是二级市场有定价权的机构投</w:t>
      </w:r>
      <w:r>
        <w:rPr>
          <w:rFonts w:hint="eastAsia" w:ascii="楷体" w:hAnsi="楷体" w:eastAsia="楷体" w:cs="楷体"/>
          <w:sz w:val="24"/>
          <w:szCs w:val="24"/>
          <w:lang w:eastAsia="zh"/>
        </w:rPr>
        <w:t>资者</w:t>
      </w:r>
      <w:r>
        <w:rPr>
          <w:rFonts w:hint="eastAsia" w:ascii="楷体" w:hAnsi="楷体" w:eastAsia="楷体" w:cs="楷体"/>
          <w:sz w:val="24"/>
          <w:szCs w:val="24"/>
        </w:rPr>
        <w:t>基于自身利益最大化，给这些产能不足的企业</w:t>
      </w:r>
      <w:r>
        <w:rPr>
          <w:rFonts w:hint="eastAsia" w:ascii="楷体" w:hAnsi="楷体" w:eastAsia="楷体" w:cs="楷体"/>
          <w:sz w:val="24"/>
          <w:szCs w:val="24"/>
          <w:lang w:eastAsia="zh"/>
        </w:rPr>
        <w:t>人为</w:t>
      </w:r>
      <w:r>
        <w:rPr>
          <w:rFonts w:hint="eastAsia" w:ascii="楷体" w:hAnsi="楷体" w:eastAsia="楷体" w:cs="楷体"/>
          <w:sz w:val="24"/>
          <w:szCs w:val="24"/>
        </w:rPr>
        <w:t>压低估值，就会导致本来需要资金扩产的行业无法在二级市场筹措到更多资金，无法解决供给不足的基本面问题。</w:t>
      </w:r>
      <w:r>
        <w:rPr>
          <w:rFonts w:hint="eastAsia" w:ascii="楷体" w:hAnsi="楷体" w:eastAsia="楷体" w:cs="楷体"/>
          <w:b/>
          <w:bCs/>
          <w:sz w:val="24"/>
          <w:szCs w:val="24"/>
        </w:rPr>
        <w:t>资本市场形成正确合理价格信号，会引导实体经济健康促成实体经济，正确合理价格信号促进实体与虚拟经济良性互动。反之不合理的价格信号会导致实体经济出现困难和问题，最终实体与资本金融市场的双崩溃。</w:t>
      </w:r>
    </w:p>
    <w:p>
      <w:pPr>
        <w:pStyle w:val="11"/>
        <w:keepNext w:val="0"/>
        <w:keepLines w:val="0"/>
        <w:pageBreakBefore w:val="0"/>
        <w:widowControl w:val="0"/>
        <w:shd w:val="clear" w:color="auto" w:fill="FFFFFF"/>
        <w:kinsoku/>
        <w:wordWrap/>
        <w:overflowPunct/>
        <w:topLinePunct w:val="0"/>
        <w:autoSpaceDE/>
        <w:autoSpaceDN/>
        <w:bidi w:val="0"/>
        <w:adjustRightInd w:val="0"/>
        <w:snapToGrid w:val="0"/>
        <w:spacing w:before="0" w:beforeLines="50" w:beforeAutospacing="0" w:after="0" w:afterLines="50" w:afterAutospacing="0" w:line="360" w:lineRule="auto"/>
        <w:ind w:firstLine="480" w:firstLineChars="200"/>
        <w:jc w:val="both"/>
        <w:textAlignment w:val="auto"/>
        <w:rPr>
          <w:rFonts w:hint="eastAsia" w:ascii="楷体" w:hAnsi="楷体" w:eastAsia="楷体" w:cs="楷体"/>
          <w:shd w:val="clear" w:color="auto" w:fill="FFFFFF"/>
        </w:rPr>
      </w:pPr>
      <w:r>
        <w:rPr>
          <w:rFonts w:hint="eastAsia" w:ascii="楷体" w:hAnsi="楷体" w:eastAsia="楷体" w:cs="楷体"/>
          <w:shd w:val="clear" w:color="auto" w:fill="FFFFFF"/>
        </w:rPr>
        <w:t>2021年11月中国煤炭期货的价格大幅飙升，涨速之快，涨幅之大严重影响了实体经济。</w:t>
      </w:r>
    </w:p>
    <w:p>
      <w:pPr>
        <w:pStyle w:val="11"/>
        <w:keepNext w:val="0"/>
        <w:keepLines w:val="0"/>
        <w:pageBreakBefore w:val="0"/>
        <w:widowControl w:val="0"/>
        <w:shd w:val="clear" w:color="auto" w:fill="FFFFFF"/>
        <w:kinsoku/>
        <w:wordWrap/>
        <w:overflowPunct/>
        <w:topLinePunct w:val="0"/>
        <w:autoSpaceDE/>
        <w:autoSpaceDN/>
        <w:bidi w:val="0"/>
        <w:adjustRightInd w:val="0"/>
        <w:snapToGrid w:val="0"/>
        <w:spacing w:before="0" w:beforeLines="50" w:beforeAutospacing="0" w:after="0" w:afterLines="50" w:afterAutospacing="0" w:line="360" w:lineRule="auto"/>
        <w:ind w:firstLine="0" w:firstLineChars="0"/>
        <w:jc w:val="both"/>
        <w:textAlignment w:val="auto"/>
        <w:rPr>
          <w:rFonts w:hint="default"/>
          <w:szCs w:val="24"/>
          <w:lang w:val="en-US"/>
        </w:rPr>
      </w:pPr>
      <w:r>
        <w:drawing>
          <wp:inline distT="0" distB="0" distL="114300" distR="114300">
            <wp:extent cx="5727700" cy="3377565"/>
            <wp:effectExtent l="0" t="0" r="2540" b="5715"/>
            <wp:docPr id="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pic:cNvPicPr>
                      <a:picLocks noChangeAspect="1"/>
                    </pic:cNvPicPr>
                  </pic:nvPicPr>
                  <pic:blipFill>
                    <a:blip r:embed="rId65"/>
                    <a:stretch>
                      <a:fillRect/>
                    </a:stretch>
                  </pic:blipFill>
                  <pic:spPr>
                    <a:xfrm>
                      <a:off x="0" y="0"/>
                      <a:ext cx="5727700" cy="3377565"/>
                    </a:xfrm>
                    <a:prstGeom prst="rect">
                      <a:avLst/>
                    </a:prstGeom>
                    <a:noFill/>
                    <a:ln>
                      <a:noFill/>
                    </a:ln>
                  </pic:spPr>
                </pic:pic>
              </a:graphicData>
            </a:graphic>
          </wp:inline>
        </w:drawing>
      </w:r>
    </w:p>
    <w:p>
      <w:pPr>
        <w:keepNext w:val="0"/>
        <w:keepLines w:val="0"/>
        <w:pageBreakBefore w:val="0"/>
        <w:widowControl w:val="0"/>
        <w:shd w:val="clear" w:color="auto" w:fill="FFFFFF"/>
        <w:kinsoku/>
        <w:wordWrap/>
        <w:overflowPunct/>
        <w:topLinePunct w:val="0"/>
        <w:autoSpaceDE/>
        <w:autoSpaceDN/>
        <w:bidi w:val="0"/>
        <w:adjustRightInd w:val="0"/>
        <w:snapToGrid w:val="0"/>
        <w:spacing w:before="60" w:after="60" w:line="360" w:lineRule="auto"/>
        <w:ind w:firstLine="480" w:firstLineChars="200"/>
        <w:textAlignment w:val="auto"/>
        <w:rPr>
          <w:rFonts w:hint="eastAsia" w:ascii="楷体" w:hAnsi="楷体" w:eastAsia="楷体" w:cs="楷体"/>
          <w:kern w:val="0"/>
          <w:sz w:val="24"/>
          <w:szCs w:val="24"/>
          <w:lang w:bidi="ar"/>
        </w:rPr>
      </w:pPr>
      <w:r>
        <w:rPr>
          <w:rFonts w:hint="eastAsia" w:ascii="楷体" w:hAnsi="楷体" w:eastAsia="楷体" w:cs="楷体"/>
          <w:kern w:val="0"/>
          <w:sz w:val="24"/>
          <w:szCs w:val="24"/>
          <w:lang w:bidi="ar"/>
        </w:rPr>
        <w:t>国家发展改革委立即发布干预煤炭价格炒作型上涨的干预公告如下：</w:t>
      </w:r>
    </w:p>
    <w:p>
      <w:pPr>
        <w:pStyle w:val="11"/>
        <w:keepNext w:val="0"/>
        <w:keepLines w:val="0"/>
        <w:pageBreakBefore w:val="0"/>
        <w:widowControl w:val="0"/>
        <w:shd w:val="clear" w:color="auto" w:fill="FFFFFF"/>
        <w:kinsoku/>
        <w:wordWrap/>
        <w:overflowPunct/>
        <w:topLinePunct w:val="0"/>
        <w:autoSpaceDE/>
        <w:autoSpaceDN/>
        <w:bidi w:val="0"/>
        <w:adjustRightInd w:val="0"/>
        <w:snapToGrid w:val="0"/>
        <w:spacing w:before="60" w:beforeAutospacing="0" w:after="60" w:afterAutospacing="0" w:line="360" w:lineRule="auto"/>
        <w:ind w:firstLine="480" w:firstLineChars="200"/>
        <w:jc w:val="both"/>
        <w:textAlignment w:val="auto"/>
        <w:rPr>
          <w:rFonts w:hint="eastAsia" w:ascii="楷体" w:hAnsi="楷体" w:eastAsia="楷体" w:cs="楷体"/>
          <w:i/>
          <w:iCs/>
          <w:sz w:val="24"/>
          <w:szCs w:val="24"/>
        </w:rPr>
      </w:pPr>
      <w:r>
        <w:rPr>
          <w:rFonts w:hint="eastAsia" w:ascii="楷体" w:hAnsi="楷体" w:eastAsia="楷体" w:cs="楷体"/>
          <w:i/>
          <w:iCs/>
          <w:sz w:val="24"/>
          <w:szCs w:val="24"/>
          <w:shd w:val="clear" w:color="auto" w:fill="FFFFFF"/>
        </w:rPr>
        <w:t>“近期煤炭价格快速上涨，连创历史新高，大幅推高下游行业生产成本，对电力供应和冬季供暖产生不利影响。为做好煤炭市场保供稳价工作。目前价格涨幅已完全脱离供求基本面，价格仍呈现进一步非理性上涨的趋势。国家发展改革委将充分运用《价格法》规定的一切必要手段，促进煤炭价格回归合理区间，促进煤炭市场回归理性，确保能源安全稳定供应。严厉打击散播虚假信息、价格串通、哄抬价格、囤积居奇等违法行为，切实维护市场秩序。”</w:t>
      </w:r>
    </w:p>
    <w:p>
      <w:pPr>
        <w:keepNext w:val="0"/>
        <w:keepLines w:val="0"/>
        <w:pageBreakBefore w:val="0"/>
        <w:widowControl w:val="0"/>
        <w:shd w:val="clear" w:color="auto" w:fill="FFFFFF"/>
        <w:kinsoku/>
        <w:wordWrap/>
        <w:overflowPunct/>
        <w:topLinePunct w:val="0"/>
        <w:autoSpaceDE/>
        <w:autoSpaceDN/>
        <w:bidi w:val="0"/>
        <w:adjustRightInd w:val="0"/>
        <w:snapToGrid w:val="0"/>
        <w:spacing w:before="60" w:after="60" w:line="360" w:lineRule="auto"/>
        <w:ind w:firstLine="480" w:firstLineChars="200"/>
        <w:jc w:val="both"/>
        <w:textAlignment w:val="auto"/>
        <w:rPr>
          <w:rFonts w:ascii="楷体" w:hAnsi="楷体" w:eastAsia="楷体" w:cs="楷体"/>
          <w:sz w:val="24"/>
          <w:szCs w:val="24"/>
        </w:rPr>
      </w:pPr>
      <w:r>
        <w:rPr>
          <w:rFonts w:hint="eastAsia" w:ascii="楷体" w:hAnsi="楷体" w:eastAsia="楷体" w:cs="楷体"/>
          <w:sz w:val="24"/>
          <w:szCs w:val="24"/>
        </w:rPr>
        <w:t>我们在煤炭价格走势图中看到的是典型的资金炒作，煤炭价格从2021年的8月到2021年10月，从800块钱一吨，涨到了1900块钱一吨，涨了140%。这种泡沫化上涨危害国家经济稳定和安全。发改委第一时间立即进行强有力的政策干预，使恶意炒作制造泡沫，谋取非法利益的行为被打击，泡沫化炒作被抑制住，从而对实体经济的不利影响快速</w:t>
      </w:r>
      <w:r>
        <w:rPr>
          <w:rFonts w:hint="eastAsia" w:ascii="楷体" w:hAnsi="楷体" w:eastAsia="楷体" w:cs="楷体"/>
          <w:sz w:val="24"/>
          <w:szCs w:val="24"/>
          <w:lang w:eastAsia="zh"/>
        </w:rPr>
        <w:t>地</w:t>
      </w:r>
      <w:r>
        <w:rPr>
          <w:rFonts w:hint="eastAsia" w:ascii="楷体" w:hAnsi="楷体" w:eastAsia="楷体" w:cs="楷体"/>
          <w:sz w:val="24"/>
          <w:szCs w:val="24"/>
        </w:rPr>
        <w:t>消除。在中国股票市场上那些机构重仓股被抱团操纵，走出了和煤炭价格被操纵几乎一样的走势，出现了对实体经济负面影响的时候，没有任何相关机</w:t>
      </w:r>
      <w:r>
        <w:rPr>
          <w:rFonts w:hint="eastAsia" w:ascii="楷体" w:hAnsi="楷体" w:eastAsia="楷体" w:cs="楷体"/>
          <w:sz w:val="24"/>
          <w:szCs w:val="24"/>
          <w:lang w:eastAsia="zh"/>
        </w:rPr>
        <w:t>构像国家</w:t>
      </w:r>
      <w:r>
        <w:rPr>
          <w:rFonts w:hint="eastAsia" w:ascii="楷体" w:hAnsi="楷体" w:eastAsia="楷体" w:cs="楷体"/>
          <w:sz w:val="24"/>
          <w:szCs w:val="24"/>
        </w:rPr>
        <w:t>发改委那样第一时间站出来干预炒作，打击非法的炒作，消除扭曲的错误定价对实体经济的不利影响。这个时候唯一站出来的是大股东。坚决</w:t>
      </w:r>
      <w:r>
        <w:rPr>
          <w:rFonts w:hint="eastAsia" w:ascii="楷体" w:hAnsi="楷体" w:eastAsia="楷体" w:cs="楷体"/>
          <w:sz w:val="24"/>
          <w:szCs w:val="24"/>
          <w:lang w:eastAsia="zh"/>
        </w:rPr>
        <w:t>地</w:t>
      </w:r>
      <w:r>
        <w:rPr>
          <w:rFonts w:hint="eastAsia" w:ascii="楷体" w:hAnsi="楷体" w:eastAsia="楷体" w:cs="楷体"/>
          <w:sz w:val="24"/>
          <w:szCs w:val="24"/>
        </w:rPr>
        <w:t>果断</w:t>
      </w:r>
      <w:r>
        <w:rPr>
          <w:rFonts w:hint="eastAsia" w:ascii="楷体" w:hAnsi="楷体" w:eastAsia="楷体" w:cs="楷体"/>
          <w:sz w:val="24"/>
          <w:szCs w:val="24"/>
          <w:lang w:eastAsia="zh"/>
        </w:rPr>
        <w:t>地</w:t>
      </w:r>
      <w:r>
        <w:rPr>
          <w:rFonts w:hint="eastAsia" w:ascii="楷体" w:hAnsi="楷体" w:eastAsia="楷体" w:cs="楷体"/>
          <w:sz w:val="24"/>
          <w:szCs w:val="24"/>
        </w:rPr>
        <w:t>在高位减持，大股东高位减持行为起到了平抑泡沫，消除泡沫的作用。这个时候大股东的减持行为的正面意义和发改委通过行政干预的效果是一样的。你能说发改委干预打压价格是错的吗？在泡沫化上涨已经影响实体经济的情况下，一切抑制泡沫的行为，都是推动社会利益维护社会利益！</w:t>
      </w:r>
      <w:r>
        <w:rPr>
          <w:rFonts w:hint="eastAsia" w:ascii="楷体" w:hAnsi="楷体" w:eastAsia="楷体" w:cs="楷体"/>
          <w:b/>
          <w:bCs/>
          <w:sz w:val="24"/>
          <w:szCs w:val="24"/>
        </w:rPr>
        <w:t>机构投资者的割韭菜盈利模式导致股票价格和估值不合理。不合理价格向实体经济发出错误的信号，错误的信号引发风险，在监管层不干预的情况下，大股东的高位减持在</w:t>
      </w:r>
      <w:r>
        <w:rPr>
          <w:rFonts w:hint="eastAsia" w:ascii="楷体" w:hAnsi="楷体" w:eastAsia="楷体" w:cs="楷体"/>
          <w:sz w:val="24"/>
          <w:szCs w:val="24"/>
        </w:rPr>
        <w:t>客观效果和发改委打压煤炭价格抑制泡沫是一样的。</w:t>
      </w:r>
    </w:p>
    <w:p>
      <w:pPr>
        <w:keepNext w:val="0"/>
        <w:keepLines w:val="0"/>
        <w:pageBreakBefore w:val="0"/>
        <w:widowControl w:val="0"/>
        <w:shd w:val="clear" w:color="auto" w:fill="FFFFFF"/>
        <w:kinsoku/>
        <w:wordWrap/>
        <w:overflowPunct/>
        <w:topLinePunct w:val="0"/>
        <w:autoSpaceDE/>
        <w:autoSpaceDN/>
        <w:bidi w:val="0"/>
        <w:adjustRightInd w:val="0"/>
        <w:snapToGrid w:val="0"/>
        <w:spacing w:before="60" w:after="60" w:line="360" w:lineRule="auto"/>
        <w:ind w:firstLine="480" w:firstLineChars="200"/>
        <w:jc w:val="both"/>
        <w:textAlignment w:val="auto"/>
        <w:rPr>
          <w:rFonts w:ascii="楷体" w:hAnsi="楷体" w:eastAsia="楷体" w:cs="楷体"/>
          <w:sz w:val="24"/>
          <w:szCs w:val="24"/>
        </w:rPr>
      </w:pPr>
      <w:r>
        <w:rPr>
          <w:rFonts w:hint="eastAsia" w:ascii="楷体" w:hAnsi="楷体" w:eastAsia="楷体" w:cs="楷体"/>
          <w:sz w:val="24"/>
          <w:szCs w:val="24"/>
        </w:rPr>
        <w:t>参与中国股市的投资者都容易知晓中国股市的估值很扭曲、很不合理，高估的特别高估，低估的特别低估，但是并没有人真正意识到中国股市的估值扭曲到了什么样的严重程度。下面的三张图是我对全球前三大经济体的股市主要指数的成分的估值分布进行的统计，数据让我们看到中国股市估值扭曲和估值不合理，已经到了颠覆宇宙规则的程度。</w:t>
      </w:r>
    </w:p>
    <w:p>
      <w:pPr>
        <w:keepNext w:val="0"/>
        <w:keepLines w:val="0"/>
        <w:pageBreakBefore w:val="0"/>
        <w:widowControl w:val="0"/>
        <w:shd w:val="clear" w:color="auto" w:fill="FFFFFF"/>
        <w:kinsoku/>
        <w:wordWrap/>
        <w:overflowPunct/>
        <w:topLinePunct w:val="0"/>
        <w:autoSpaceDE/>
        <w:autoSpaceDN/>
        <w:bidi w:val="0"/>
        <w:adjustRightInd w:val="0"/>
        <w:snapToGrid w:val="0"/>
        <w:spacing w:before="60" w:after="60" w:line="360" w:lineRule="auto"/>
        <w:ind w:firstLine="480" w:firstLineChars="200"/>
        <w:jc w:val="both"/>
        <w:textAlignment w:val="auto"/>
        <w:rPr>
          <w:rFonts w:ascii="楷体" w:hAnsi="楷体" w:eastAsia="楷体" w:cs="楷体"/>
        </w:rPr>
      </w:pPr>
      <w:r>
        <w:rPr>
          <w:rFonts w:hint="eastAsia" w:ascii="楷体" w:hAnsi="楷体" w:eastAsia="楷体" w:cs="楷体"/>
          <w:sz w:val="24"/>
          <w:szCs w:val="24"/>
        </w:rPr>
        <w:t>下图是美国的标准普尔500指数的500家成分股的估值分布。</w:t>
      </w:r>
    </w:p>
    <w:p>
      <w:pPr>
        <w:keepNext w:val="0"/>
        <w:keepLines w:val="0"/>
        <w:pageBreakBefore w:val="0"/>
        <w:widowControl/>
        <w:shd w:val="clear" w:color="auto" w:fill="FFFFFF"/>
        <w:kinsoku/>
        <w:wordWrap/>
        <w:overflowPunct/>
        <w:topLinePunct w:val="0"/>
        <w:autoSpaceDE/>
        <w:autoSpaceDN/>
        <w:bidi w:val="0"/>
        <w:adjustRightInd w:val="0"/>
        <w:snapToGrid/>
        <w:spacing w:before="0" w:after="0" w:afterLines="50" w:line="240" w:lineRule="auto"/>
        <w:jc w:val="right"/>
        <w:textAlignment w:val="auto"/>
        <w:rPr>
          <w:rFonts w:hint="eastAsia" w:ascii="楷体" w:hAnsi="楷体" w:eastAsia="楷体" w:cs="楷体"/>
        </w:rPr>
      </w:pPr>
      <w:r>
        <w:drawing>
          <wp:inline distT="0" distB="0" distL="114300" distR="114300">
            <wp:extent cx="5725160" cy="3776980"/>
            <wp:effectExtent l="0" t="0" r="5080" b="2540"/>
            <wp:docPr id="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pic:cNvPicPr>
                      <a:picLocks noChangeAspect="1"/>
                    </pic:cNvPicPr>
                  </pic:nvPicPr>
                  <pic:blipFill>
                    <a:blip r:embed="rId66"/>
                    <a:stretch>
                      <a:fillRect/>
                    </a:stretch>
                  </pic:blipFill>
                  <pic:spPr>
                    <a:xfrm>
                      <a:off x="0" y="0"/>
                      <a:ext cx="5725160" cy="3776980"/>
                    </a:xfrm>
                    <a:prstGeom prst="rect">
                      <a:avLst/>
                    </a:prstGeom>
                    <a:noFill/>
                    <a:ln>
                      <a:noFill/>
                    </a:ln>
                  </pic:spPr>
                </pic:pic>
              </a:graphicData>
            </a:graphic>
          </wp:inline>
        </w:drawing>
      </w:r>
    </w:p>
    <w:p>
      <w:pPr>
        <w:shd w:val="clear" w:color="auto" w:fill="FFFFFF"/>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在美国标普指数成分股估值分布图上，我们看到估值主要分布在10倍市盈率到40倍市盈率之间，低于10倍市盈率的低估股票数量和高于40倍市盈率的高估股票数量都非常少，在美国标准普尔500指数上我们看到该指数的成分股的估值分布符合标准的正态分布，中间多两头少。</w:t>
      </w:r>
    </w:p>
    <w:p>
      <w:pPr>
        <w:shd w:val="clear" w:color="auto" w:fill="FFFFFF"/>
        <w:adjustRightInd w:val="0"/>
        <w:spacing w:line="360" w:lineRule="auto"/>
        <w:ind w:firstLine="480" w:firstLineChars="200"/>
        <w:jc w:val="both"/>
        <w:rPr>
          <w:rFonts w:ascii="楷体" w:hAnsi="楷体" w:eastAsia="楷体" w:cs="楷体"/>
          <w:b/>
          <w:bCs/>
        </w:rPr>
      </w:pPr>
      <w:r>
        <w:rPr>
          <w:rFonts w:hint="eastAsia" w:ascii="楷体" w:hAnsi="楷体" w:eastAsia="楷体" w:cs="楷体"/>
          <w:sz w:val="24"/>
          <w:szCs w:val="24"/>
        </w:rPr>
        <w:t>下图是日本日经225指数成分股估值分布图：</w:t>
      </w:r>
    </w:p>
    <w:p>
      <w:pPr>
        <w:keepNext w:val="0"/>
        <w:keepLines w:val="0"/>
        <w:pageBreakBefore w:val="0"/>
        <w:widowControl/>
        <w:shd w:val="clear" w:color="auto" w:fill="FFFFFF"/>
        <w:kinsoku/>
        <w:wordWrap/>
        <w:overflowPunct/>
        <w:topLinePunct w:val="0"/>
        <w:autoSpaceDE/>
        <w:autoSpaceDN/>
        <w:bidi w:val="0"/>
        <w:adjustRightInd w:val="0"/>
        <w:snapToGrid/>
        <w:spacing w:before="0" w:after="0" w:afterLines="50" w:line="240" w:lineRule="auto"/>
        <w:jc w:val="right"/>
        <w:textAlignment w:val="auto"/>
        <w:rPr>
          <w:rFonts w:ascii="楷体" w:hAnsi="楷体" w:eastAsia="楷体" w:cs="楷体"/>
        </w:rPr>
      </w:pPr>
      <w:r>
        <w:drawing>
          <wp:inline distT="0" distB="0" distL="114300" distR="114300">
            <wp:extent cx="5726430" cy="3761105"/>
            <wp:effectExtent l="0" t="0" r="3810" b="3175"/>
            <wp:docPr id="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
                    <pic:cNvPicPr>
                      <a:picLocks noChangeAspect="1"/>
                    </pic:cNvPicPr>
                  </pic:nvPicPr>
                  <pic:blipFill>
                    <a:blip r:embed="rId67"/>
                    <a:stretch>
                      <a:fillRect/>
                    </a:stretch>
                  </pic:blipFill>
                  <pic:spPr>
                    <a:xfrm>
                      <a:off x="0" y="0"/>
                      <a:ext cx="5726430" cy="3761105"/>
                    </a:xfrm>
                    <a:prstGeom prst="rect">
                      <a:avLst/>
                    </a:prstGeom>
                    <a:noFill/>
                    <a:ln>
                      <a:noFill/>
                    </a:ln>
                  </pic:spPr>
                </pic:pic>
              </a:graphicData>
            </a:graphic>
          </wp:inline>
        </w:drawing>
      </w:r>
    </w:p>
    <w:p>
      <w:pPr>
        <w:shd w:val="clear" w:color="auto" w:fill="FFFFFF"/>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在日经225成分股估值分布图上，我们看到估值主要分布在10倍市盈率到20倍市盈率之间，低于10倍市盈率的低估股票数量和高于20倍市盈率的高估股票数量都非常少，该指数的成分股的估值分布符合标准的正态分布，中间多两头少。</w:t>
      </w:r>
    </w:p>
    <w:p>
      <w:pPr>
        <w:shd w:val="clear" w:color="auto" w:fill="FFFFFF"/>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出现在标普500成分股和日经225成分股的估值分布特征，共同体现的正态分布是合理的，是符合自然法则的。在全宇宙范围之内，任何类型的事物内部的个体都是中间多两头少。人类的身高大个儿和小个</w:t>
      </w:r>
      <w:r>
        <w:rPr>
          <w:rFonts w:hint="eastAsia" w:ascii="楷体" w:hAnsi="楷体" w:eastAsia="楷体" w:cs="楷体"/>
          <w:sz w:val="24"/>
          <w:szCs w:val="24"/>
          <w:lang w:val="en-US" w:eastAsia="zh-CN"/>
        </w:rPr>
        <w:t>子</w:t>
      </w:r>
      <w:r>
        <w:rPr>
          <w:rFonts w:hint="eastAsia" w:ascii="楷体" w:hAnsi="楷体" w:eastAsia="楷体" w:cs="楷体"/>
          <w:sz w:val="24"/>
          <w:szCs w:val="24"/>
        </w:rPr>
        <w:t>占比都是少的，中等个子处于绝大多数。任何类型的事物都是极端的少，两端是少的，大部分个体处于中间状态，这个规律是全宇宙普适的。</w:t>
      </w:r>
      <w:r>
        <w:rPr>
          <w:rFonts w:hint="eastAsia" w:ascii="楷体" w:hAnsi="楷体" w:eastAsia="楷体" w:cs="楷体"/>
          <w:b/>
          <w:bCs/>
          <w:sz w:val="24"/>
          <w:szCs w:val="24"/>
        </w:rPr>
        <w:t>一个股票市场上千</w:t>
      </w:r>
      <w:r>
        <w:rPr>
          <w:rFonts w:hint="eastAsia" w:ascii="楷体" w:hAnsi="楷体" w:eastAsia="楷体" w:cs="楷体"/>
          <w:b/>
          <w:bCs/>
          <w:sz w:val="24"/>
          <w:szCs w:val="24"/>
          <w:lang w:eastAsia="zh"/>
        </w:rPr>
        <w:t>只</w:t>
      </w:r>
      <w:r>
        <w:rPr>
          <w:rFonts w:hint="eastAsia" w:ascii="楷体" w:hAnsi="楷体" w:eastAsia="楷体" w:cs="楷体"/>
          <w:b/>
          <w:bCs/>
          <w:sz w:val="24"/>
          <w:szCs w:val="24"/>
        </w:rPr>
        <w:t>股票，每一只股票都有特定的估值，但是所有股票估值应该符合正态分布，高估值和低估值的要少于中间相对合理估值的数量。这是由普遍适用于宇宙范围内任何事物的正态分布法则决定的。</w:t>
      </w:r>
      <w:r>
        <w:rPr>
          <w:rFonts w:hint="eastAsia" w:ascii="楷体" w:hAnsi="楷体" w:eastAsia="楷体" w:cs="楷体"/>
          <w:sz w:val="24"/>
          <w:szCs w:val="24"/>
        </w:rPr>
        <w:t>下面我们看一下中国沪深300指数成分股的估值分布图：</w:t>
      </w:r>
    </w:p>
    <w:p>
      <w:pPr>
        <w:pStyle w:val="6"/>
        <w:keepNext w:val="0"/>
        <w:keepLines w:val="0"/>
        <w:pageBreakBefore w:val="0"/>
        <w:widowControl/>
        <w:kinsoku/>
        <w:wordWrap/>
        <w:overflowPunct/>
        <w:topLinePunct w:val="0"/>
        <w:autoSpaceDE/>
        <w:autoSpaceDN/>
        <w:bidi w:val="0"/>
        <w:adjustRightInd w:val="0"/>
        <w:snapToGrid/>
        <w:spacing w:before="0" w:after="0" w:line="240" w:lineRule="auto"/>
        <w:jc w:val="both"/>
        <w:textAlignment w:val="auto"/>
        <w:rPr>
          <w:color w:val="000000"/>
        </w:rPr>
      </w:pPr>
    </w:p>
    <w:p>
      <w:pPr>
        <w:rPr>
          <w:color w:val="000000"/>
        </w:rPr>
      </w:pPr>
    </w:p>
    <w:p>
      <w:pPr>
        <w:rPr>
          <w:color w:val="000000"/>
        </w:rPr>
      </w:pPr>
    </w:p>
    <w:p>
      <w:pPr>
        <w:keepNext w:val="0"/>
        <w:keepLines w:val="0"/>
        <w:pageBreakBefore w:val="0"/>
        <w:widowControl/>
        <w:shd w:val="clear" w:color="auto" w:fill="FFFFFF"/>
        <w:kinsoku/>
        <w:wordWrap/>
        <w:overflowPunct/>
        <w:topLinePunct w:val="0"/>
        <w:autoSpaceDE/>
        <w:autoSpaceDN/>
        <w:bidi w:val="0"/>
        <w:adjustRightInd w:val="0"/>
        <w:snapToGrid/>
        <w:spacing w:before="0" w:after="0" w:afterLines="100" w:line="240" w:lineRule="auto"/>
        <w:jc w:val="right"/>
        <w:textAlignment w:val="auto"/>
        <w:rPr>
          <w:rFonts w:ascii="楷体" w:hAnsi="楷体" w:eastAsia="楷体" w:cs="楷体"/>
        </w:rPr>
      </w:pPr>
      <w:r>
        <w:drawing>
          <wp:inline distT="0" distB="0" distL="114300" distR="114300">
            <wp:extent cx="5727065" cy="3790950"/>
            <wp:effectExtent l="0" t="0" r="3175" b="3810"/>
            <wp:docPr id="6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pic:cNvPicPr>
                      <a:picLocks noChangeAspect="1"/>
                    </pic:cNvPicPr>
                  </pic:nvPicPr>
                  <pic:blipFill>
                    <a:blip r:embed="rId68"/>
                    <a:stretch>
                      <a:fillRect/>
                    </a:stretch>
                  </pic:blipFill>
                  <pic:spPr>
                    <a:xfrm>
                      <a:off x="0" y="0"/>
                      <a:ext cx="5727065" cy="3790950"/>
                    </a:xfrm>
                    <a:prstGeom prst="rect">
                      <a:avLst/>
                    </a:prstGeom>
                    <a:noFill/>
                    <a:ln>
                      <a:noFill/>
                    </a:ln>
                  </pic:spPr>
                </pic:pic>
              </a:graphicData>
            </a:graphic>
          </wp:inline>
        </w:drawing>
      </w:r>
    </w:p>
    <w:p>
      <w:pPr>
        <w:keepNext w:val="0"/>
        <w:keepLines w:val="0"/>
        <w:pageBreakBefore w:val="0"/>
        <w:widowControl w:val="0"/>
        <w:shd w:val="clear" w:color="auto" w:fill="FFFFFF"/>
        <w:kinsoku/>
        <w:wordWrap/>
        <w:overflowPunct/>
        <w:topLinePunct w:val="0"/>
        <w:autoSpaceDE/>
        <w:autoSpaceDN/>
        <w:bidi w:val="0"/>
        <w:adjustRightInd w:val="0"/>
        <w:snapToGrid w:val="0"/>
        <w:spacing w:line="500" w:lineRule="exact"/>
        <w:ind w:firstLine="480" w:firstLineChars="200"/>
        <w:jc w:val="both"/>
        <w:textAlignment w:val="auto"/>
        <w:rPr>
          <w:rFonts w:ascii="楷体" w:hAnsi="楷体" w:eastAsia="楷体" w:cs="楷体"/>
          <w:sz w:val="24"/>
          <w:szCs w:val="24"/>
        </w:rPr>
      </w:pPr>
      <w:r>
        <w:rPr>
          <w:rFonts w:hint="eastAsia" w:ascii="楷体" w:hAnsi="楷体" w:eastAsia="楷体" w:cs="楷体"/>
          <w:sz w:val="24"/>
          <w:szCs w:val="24"/>
        </w:rPr>
        <w:t>在沪深300估值分布图中，处于10</w:t>
      </w:r>
      <w:r>
        <w:rPr>
          <w:rFonts w:hint="eastAsia" w:ascii="楷体" w:hAnsi="楷体" w:eastAsia="楷体" w:cs="楷体"/>
          <w:sz w:val="22"/>
          <w:szCs w:val="22"/>
          <w:lang w:eastAsia="zh-CN"/>
        </w:rPr>
        <w:t>～</w:t>
      </w:r>
      <w:r>
        <w:rPr>
          <w:rFonts w:hint="eastAsia" w:ascii="楷体" w:hAnsi="楷体" w:eastAsia="楷体" w:cs="楷体"/>
          <w:sz w:val="24"/>
          <w:szCs w:val="24"/>
        </w:rPr>
        <w:t>20倍市盈率的中间估值水平很少，处于25倍市盈率以上的估值的股票特别多，占主流，同时估值水平低于7倍的股票数量也非常多，由此我们看到中国沪深300指数成分股的估值分布，不再符合正态分布，而是高估和低估的数量多于中间估值水平的数量，这就是中国股市必然全面危机化的原因，</w:t>
      </w:r>
      <w:r>
        <w:rPr>
          <w:rFonts w:hint="eastAsia" w:ascii="楷体" w:hAnsi="楷体" w:eastAsia="楷体" w:cs="楷体"/>
          <w:b/>
          <w:bCs/>
          <w:sz w:val="24"/>
          <w:szCs w:val="24"/>
        </w:rPr>
        <w:t>因为中国股市违反了普遍适用于宇宙的估值水平正态分布的法则！之所以出现这种情况是因为割韭菜盈利模式炒作操纵扭曲估值，割韭菜盈利模式颠覆挑战了价值规律，也颠覆挑战了正态分布的规律。</w:t>
      </w:r>
      <w:r>
        <w:rPr>
          <w:rFonts w:hint="eastAsia" w:ascii="楷体" w:hAnsi="楷体" w:eastAsia="楷体" w:cs="楷体"/>
          <w:sz w:val="24"/>
          <w:szCs w:val="24"/>
        </w:rPr>
        <w:t>把两大规律都颠覆了想不发生崩溃和危机是不可能的，在宇宙范围内没有任何主体可以践踏规律，而不受到规律的惩罚。</w:t>
      </w:r>
    </w:p>
    <w:p>
      <w:pPr>
        <w:keepNext w:val="0"/>
        <w:keepLines w:val="0"/>
        <w:pageBreakBefore w:val="0"/>
        <w:widowControl w:val="0"/>
        <w:shd w:val="clear" w:color="auto" w:fill="FFFFFF"/>
        <w:kinsoku/>
        <w:wordWrap/>
        <w:overflowPunct/>
        <w:topLinePunct w:val="0"/>
        <w:autoSpaceDE/>
        <w:autoSpaceDN/>
        <w:bidi w:val="0"/>
        <w:adjustRightInd w:val="0"/>
        <w:snapToGrid w:val="0"/>
        <w:spacing w:line="500" w:lineRule="exact"/>
        <w:ind w:firstLine="480" w:firstLineChars="200"/>
        <w:jc w:val="both"/>
        <w:textAlignment w:val="auto"/>
        <w:rPr>
          <w:rFonts w:ascii="楷体" w:hAnsi="楷体" w:eastAsia="楷体" w:cs="楷体"/>
          <w:sz w:val="24"/>
          <w:szCs w:val="24"/>
        </w:rPr>
      </w:pPr>
      <w:r>
        <w:rPr>
          <w:rFonts w:hint="eastAsia" w:ascii="楷体" w:hAnsi="楷体" w:eastAsia="楷体" w:cs="楷体"/>
          <w:sz w:val="24"/>
          <w:szCs w:val="24"/>
        </w:rPr>
        <w:t>下图是我把2021年沪深300所有股票的涨幅按照市盈率分布进行分别统计：</w:t>
      </w:r>
    </w:p>
    <w:p>
      <w:pPr>
        <w:keepNext w:val="0"/>
        <w:keepLines w:val="0"/>
        <w:pageBreakBefore w:val="0"/>
        <w:widowControl/>
        <w:shd w:val="clear" w:color="auto" w:fill="FFFFFF"/>
        <w:kinsoku/>
        <w:wordWrap/>
        <w:overflowPunct/>
        <w:topLinePunct w:val="0"/>
        <w:autoSpaceDE/>
        <w:autoSpaceDN/>
        <w:bidi w:val="0"/>
        <w:adjustRightInd w:val="0"/>
        <w:snapToGrid/>
        <w:spacing w:before="0" w:after="0" w:afterLines="100" w:line="240" w:lineRule="auto"/>
        <w:jc w:val="right"/>
        <w:textAlignment w:val="auto"/>
        <w:rPr>
          <w:rFonts w:ascii="楷体" w:hAnsi="楷体" w:eastAsia="楷体" w:cs="楷体"/>
        </w:rPr>
      </w:pPr>
      <w:r>
        <w:drawing>
          <wp:inline distT="0" distB="0" distL="114300" distR="114300">
            <wp:extent cx="5730240" cy="3947795"/>
            <wp:effectExtent l="0" t="0" r="0" b="14605"/>
            <wp:docPr id="6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5"/>
                    <pic:cNvPicPr>
                      <a:picLocks noChangeAspect="1"/>
                    </pic:cNvPicPr>
                  </pic:nvPicPr>
                  <pic:blipFill>
                    <a:blip r:embed="rId69"/>
                    <a:stretch>
                      <a:fillRect/>
                    </a:stretch>
                  </pic:blipFill>
                  <pic:spPr>
                    <a:xfrm>
                      <a:off x="0" y="0"/>
                      <a:ext cx="5730240" cy="3947795"/>
                    </a:xfrm>
                    <a:prstGeom prst="rect">
                      <a:avLst/>
                    </a:prstGeom>
                    <a:noFill/>
                    <a:ln>
                      <a:noFill/>
                    </a:ln>
                  </pic:spPr>
                </pic:pic>
              </a:graphicData>
            </a:graphic>
          </wp:inline>
        </w:drawing>
      </w:r>
    </w:p>
    <w:p>
      <w:pPr>
        <w:shd w:val="clear" w:color="auto" w:fill="FFFFFF"/>
        <w:adjustRightInd w:val="0"/>
        <w:spacing w:line="360" w:lineRule="auto"/>
        <w:ind w:firstLine="480" w:firstLineChars="200"/>
        <w:jc w:val="both"/>
        <w:rPr>
          <w:rFonts w:ascii="楷体" w:hAnsi="楷体" w:eastAsia="楷体" w:cs="楷体"/>
          <w:b/>
          <w:bCs/>
          <w:sz w:val="24"/>
          <w:szCs w:val="24"/>
        </w:rPr>
      </w:pPr>
      <w:r>
        <w:rPr>
          <w:rFonts w:hint="eastAsia" w:ascii="楷体" w:hAnsi="楷体" w:eastAsia="楷体" w:cs="楷体"/>
          <w:sz w:val="24"/>
          <w:szCs w:val="24"/>
        </w:rPr>
        <w:t>统计的结果是</w:t>
      </w:r>
      <w:r>
        <w:rPr>
          <w:rFonts w:hint="eastAsia" w:ascii="楷体" w:hAnsi="楷体" w:eastAsia="楷体" w:cs="楷体"/>
          <w:b/>
          <w:bCs/>
          <w:sz w:val="24"/>
          <w:szCs w:val="24"/>
        </w:rPr>
        <w:t>在2021年的由主流机构推动的上涨，估值越低股价越不涨，最低估值的小于6倍市盈率股票反而还在下跌。越是高估值越上涨，其中竟然是亏损股的涨幅最大。我们在图中看到的是钱往高处流。中国的机构们再次颠覆了钱往低处流的法则，越是高估越是有风险越上涨，越是低估有价值越下跌。在这种扭曲的估值和涨跌面前不发生崩溃和危机怎么可能呢？</w:t>
      </w:r>
    </w:p>
    <w:p>
      <w:pPr>
        <w:shd w:val="clear" w:color="auto" w:fill="FFFFFF"/>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目前中国股市有一些创业公司的估值在二级市场由于太高，很多创业者都已经不安心创业，而是想方设法高位减持之后，享受减持带来的巨大利益。马上把自己手中的股权卖掉，所获得的利益远比创业成功带来的利益更大，在这种情况下创业已经不是实现自身利益最大化的首要方法，而是直接卖掉股票。</w:t>
      </w:r>
      <w:r>
        <w:rPr>
          <w:rFonts w:hint="eastAsia" w:ascii="楷体" w:hAnsi="楷体" w:eastAsia="楷体" w:cs="楷体"/>
          <w:b/>
          <w:bCs/>
          <w:sz w:val="24"/>
          <w:szCs w:val="24"/>
        </w:rPr>
        <w:t>高估值错误扭曲的定价已经影响创业热情和创业积极性，股票市场不再是促进创业，而是抑制了创业。</w:t>
      </w:r>
      <w:r>
        <w:rPr>
          <w:rFonts w:hint="eastAsia" w:ascii="楷体" w:hAnsi="楷体" w:eastAsia="楷体" w:cs="楷体"/>
          <w:sz w:val="24"/>
          <w:szCs w:val="24"/>
        </w:rPr>
        <w:t>一旦中国创业精神弱化，实业经营者被市场扭曲的高估值分了心不再专注于做好实业、做好基本面，而是靠二级市场减持获利，整个经济系统无论资本市场还是实体经济都会受到严重伤害。错误定价引发了错误的激励机制。解决之道是消除错误定价产生的基础，也就是消除割韭菜盈利模式主流化的逆流。通过强有力的政策干预让机构投资者的盈利模式建立在尊重价值规律，推动合理估值的基础上。</w:t>
      </w:r>
    </w:p>
    <w:p>
      <w:pPr>
        <w:shd w:val="clear" w:color="auto" w:fill="FFFFFF"/>
        <w:adjustRightInd w:val="0"/>
        <w:spacing w:line="360" w:lineRule="auto"/>
        <w:ind w:firstLine="482" w:firstLineChars="200"/>
        <w:jc w:val="both"/>
        <w:rPr>
          <w:rFonts w:ascii="楷体" w:hAnsi="楷体" w:eastAsia="楷体" w:cs="楷体"/>
          <w:sz w:val="24"/>
          <w:szCs w:val="24"/>
        </w:rPr>
      </w:pPr>
      <w:r>
        <w:rPr>
          <w:rFonts w:hint="eastAsia" w:ascii="楷体" w:hAnsi="楷体" w:eastAsia="楷体" w:cs="楷体"/>
          <w:b/>
          <w:bCs/>
          <w:sz w:val="24"/>
          <w:szCs w:val="24"/>
        </w:rPr>
        <w:t>中国股市开张30多年来，市场上的问题越来越严重，问题越来越严重背后的原因是割韭菜盈利模式越来越主流化，越来越成为社会时尚。本来这是一种犯罪行为，是一种伤害金融市场稳定，伤害中国社会经济的犯罪行为，可是人们越来越不认为这是一个问题，越来越想尽一切办法削尖脑袋，成为手持镰刀可以去收割别人的人。这种割韭菜盈利模式，没有人把它作为一个问题，反而越来越流行</w:t>
      </w:r>
      <w:r>
        <w:rPr>
          <w:rFonts w:hint="eastAsia" w:ascii="楷体" w:hAnsi="楷体" w:eastAsia="楷体" w:cs="楷体"/>
          <w:sz w:val="24"/>
          <w:szCs w:val="24"/>
        </w:rPr>
        <w:t>。</w:t>
      </w:r>
    </w:p>
    <w:p>
      <w:pPr>
        <w:shd w:val="clear" w:color="auto" w:fill="FFFFFF"/>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我举一个发生于2023年的著名的金帝股份上市的一个案例来说明割韭菜盈利模式越来越明显。在这个案例中，新发行上市公司的员工持股按照现行的法规，是不能在上市交易初期卖出的，他们有锁定期。但是几乎所有的人都知道，中国新股上市超高开盘价之后便会随着时间的推移而大幅下跌，金帝股份的员工更清楚，所以这些员工持有的原始股想尽一切办法在新股发行上市交易初期卖出，如果他们不能抢在上市之初就卖出，等锁定期到了之后再卖价格已经跌</w:t>
      </w:r>
      <w:r>
        <w:rPr>
          <w:rFonts w:hint="eastAsia" w:ascii="楷体" w:hAnsi="楷体" w:eastAsia="楷体" w:cs="楷体"/>
          <w:sz w:val="24"/>
          <w:szCs w:val="24"/>
          <w:lang w:eastAsia="zh"/>
        </w:rPr>
        <w:t>得</w:t>
      </w:r>
      <w:r>
        <w:rPr>
          <w:rFonts w:hint="eastAsia" w:ascii="楷体" w:hAnsi="楷体" w:eastAsia="楷体" w:cs="楷体"/>
          <w:sz w:val="24"/>
          <w:szCs w:val="24"/>
        </w:rPr>
        <w:t>面目全非。于是神奇的一幕出现了，金帝股份的员工利用了现在的交易制度，先融券把借来的股票先卖出，然后等到自己的股票锁定期到了以后再还股票，这样就成功破了锁定期的限制，实现了在新股上市交易之初，高开盘价出现时高位卖出。于是金帝股份给中国股票市场留下了这样一个股价走势图：</w:t>
      </w:r>
    </w:p>
    <w:p>
      <w:pPr>
        <w:keepNext w:val="0"/>
        <w:keepLines w:val="0"/>
        <w:pageBreakBefore w:val="0"/>
        <w:widowControl/>
        <w:kinsoku/>
        <w:wordWrap w:val="0"/>
        <w:overflowPunct/>
        <w:topLinePunct w:val="0"/>
        <w:autoSpaceDE/>
        <w:autoSpaceDN/>
        <w:bidi w:val="0"/>
        <w:adjustRightInd/>
        <w:snapToGrid/>
        <w:spacing w:after="0" w:afterLines="50"/>
        <w:jc w:val="right"/>
        <w:textAlignment w:val="auto"/>
        <w:rPr>
          <w:rFonts w:hint="default" w:ascii="楷体" w:hAnsi="楷体" w:eastAsia="楷体" w:cs="楷体"/>
          <w:b/>
          <w:bCs/>
          <w:lang w:val="en-US"/>
        </w:rPr>
      </w:pPr>
      <w:r>
        <w:drawing>
          <wp:inline distT="0" distB="0" distL="114300" distR="114300">
            <wp:extent cx="5726430" cy="2622550"/>
            <wp:effectExtent l="0" t="0" r="3810" b="13970"/>
            <wp:docPr id="6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6"/>
                    <pic:cNvPicPr>
                      <a:picLocks noChangeAspect="1"/>
                    </pic:cNvPicPr>
                  </pic:nvPicPr>
                  <pic:blipFill>
                    <a:blip r:embed="rId70"/>
                    <a:stretch>
                      <a:fillRect/>
                    </a:stretch>
                  </pic:blipFill>
                  <pic:spPr>
                    <a:xfrm>
                      <a:off x="0" y="0"/>
                      <a:ext cx="5726430" cy="2622550"/>
                    </a:xfrm>
                    <a:prstGeom prst="rect">
                      <a:avLst/>
                    </a:prstGeom>
                    <a:noFill/>
                    <a:ln>
                      <a:noFill/>
                    </a:ln>
                  </pic:spPr>
                </pic:pic>
              </a:graphicData>
            </a:graphic>
          </wp:inline>
        </w:drawing>
      </w:r>
    </w:p>
    <w:p>
      <w:pPr>
        <w:shd w:val="clear" w:color="auto" w:fill="FFFFFF"/>
        <w:adjustRightInd w:val="0"/>
        <w:spacing w:line="360" w:lineRule="auto"/>
        <w:ind w:firstLine="480" w:firstLineChars="200"/>
        <w:jc w:val="both"/>
        <w:rPr>
          <w:rFonts w:ascii="楷体" w:hAnsi="楷体" w:eastAsia="楷体" w:cs="楷体"/>
          <w:b/>
          <w:bCs/>
          <w:sz w:val="24"/>
          <w:szCs w:val="24"/>
        </w:rPr>
      </w:pPr>
      <w:r>
        <w:rPr>
          <w:rFonts w:hint="eastAsia" w:ascii="楷体" w:hAnsi="楷体" w:eastAsia="楷体" w:cs="楷体"/>
          <w:sz w:val="24"/>
          <w:szCs w:val="24"/>
        </w:rPr>
        <w:t>金帝股份上市开盘价39.9元，很快就冲到了61块钱，金帝股份的员工们纷纷在高位把自己的股票高价卖出。随后其股价就开始一路下跌，到2024年4月跌到了25块钱，在8个月的时间内跌幅高达60%。整个这个过程中，金帝股份的员工所持有的</w:t>
      </w:r>
      <w:r>
        <w:rPr>
          <w:rFonts w:hint="eastAsia" w:ascii="楷体" w:hAnsi="楷体" w:eastAsia="楷体" w:cs="楷体"/>
          <w:b/>
          <w:bCs/>
          <w:sz w:val="24"/>
          <w:szCs w:val="24"/>
        </w:rPr>
        <w:t>原始股成功地在高位获得了巨额财富</w:t>
      </w:r>
      <w:r>
        <w:rPr>
          <w:rFonts w:hint="eastAsia" w:ascii="楷体" w:hAnsi="楷体" w:eastAsia="楷体" w:cs="楷体"/>
          <w:b/>
          <w:bCs/>
          <w:sz w:val="24"/>
          <w:szCs w:val="24"/>
          <w:lang w:eastAsia="zh-CN"/>
        </w:rPr>
        <w:t>。</w:t>
      </w:r>
      <w:r>
        <w:rPr>
          <w:rFonts w:hint="eastAsia" w:ascii="楷体" w:hAnsi="楷体" w:eastAsia="楷体" w:cs="楷体"/>
          <w:b/>
          <w:bCs/>
          <w:sz w:val="24"/>
          <w:szCs w:val="24"/>
        </w:rPr>
        <w:t>二级市场上投资者的损失是由人为操纵的、不真实的、意图在收割二级市场投资人的高开盘价导致的。</w:t>
      </w:r>
    </w:p>
    <w:p>
      <w:pPr>
        <w:shd w:val="clear" w:color="auto" w:fill="FFFFFF"/>
        <w:adjustRightInd w:val="0"/>
        <w:spacing w:line="360" w:lineRule="auto"/>
        <w:ind w:firstLine="480" w:firstLineChars="200"/>
        <w:jc w:val="both"/>
        <w:rPr>
          <w:rFonts w:hint="eastAsia" w:ascii="楷体" w:hAnsi="楷体" w:eastAsia="楷体" w:cs="楷体"/>
          <w:sz w:val="24"/>
          <w:szCs w:val="24"/>
        </w:rPr>
      </w:pPr>
      <w:r>
        <w:rPr>
          <w:rFonts w:hint="eastAsia" w:ascii="楷体" w:hAnsi="楷体" w:eastAsia="楷体" w:cs="楷体"/>
          <w:sz w:val="24"/>
          <w:szCs w:val="24"/>
        </w:rPr>
        <w:t>金帝股份的员工成功成为割韭菜阵营中的一个。他们在保荐人和专业机构的帮助下，成功</w:t>
      </w:r>
      <w:r>
        <w:rPr>
          <w:rFonts w:hint="eastAsia" w:ascii="楷体" w:hAnsi="楷体" w:eastAsia="楷体" w:cs="楷体"/>
          <w:sz w:val="24"/>
          <w:szCs w:val="24"/>
          <w:lang w:eastAsia="zh"/>
        </w:rPr>
        <w:t>地</w:t>
      </w:r>
      <w:r>
        <w:rPr>
          <w:rFonts w:hint="eastAsia" w:ascii="楷体" w:hAnsi="楷体" w:eastAsia="楷体" w:cs="楷体"/>
          <w:sz w:val="24"/>
          <w:szCs w:val="24"/>
        </w:rPr>
        <w:t>利用现在的交易制度，完美</w:t>
      </w:r>
      <w:r>
        <w:rPr>
          <w:rFonts w:hint="eastAsia" w:ascii="楷体" w:hAnsi="楷体" w:eastAsia="楷体" w:cs="楷体"/>
          <w:sz w:val="24"/>
          <w:szCs w:val="24"/>
          <w:lang w:eastAsia="zh"/>
        </w:rPr>
        <w:t>地</w:t>
      </w:r>
      <w:r>
        <w:rPr>
          <w:rFonts w:hint="eastAsia" w:ascii="楷体" w:hAnsi="楷体" w:eastAsia="楷体" w:cs="楷体"/>
          <w:sz w:val="24"/>
          <w:szCs w:val="24"/>
        </w:rPr>
        <w:t>收割了二级市场的大众。</w:t>
      </w:r>
    </w:p>
    <w:p>
      <w:pPr>
        <w:shd w:val="clear" w:color="auto" w:fill="FFFFFF"/>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人人都想收割二级市场的大众。金帝股份的员工们只是这种社会潮流的一个普通的参与者。这种收割二级市场大众的割韭菜盈利模式花样不断迭代，这一次金帝股份的员工所持有的原始股对二级市场大众的收割，利用了融资融券的机制，避开了获得大量原始股的持有人限售期。使得限售以保护二级市场投资人的政策形同虚设。</w:t>
      </w:r>
    </w:p>
    <w:p>
      <w:pPr>
        <w:shd w:val="clear" w:color="auto" w:fill="FFFFFF"/>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金帝股份的股价走势几乎出现在所有的上市新股中，残酷的收割几乎每一天都发生，然而没有人管没有人问。以至于人们都纷纷想尽一切办法变成收割者，变成拥有镰刀的人。在收割别人的过程中获得人生的成就和荣耀。就像金帝股份的那些员工持股</w:t>
      </w:r>
      <w:r>
        <w:rPr>
          <w:rFonts w:hint="eastAsia" w:ascii="楷体" w:hAnsi="楷体" w:eastAsia="楷体" w:cs="楷体"/>
          <w:b/>
          <w:bCs/>
          <w:sz w:val="24"/>
          <w:szCs w:val="24"/>
        </w:rPr>
        <w:t>在成功</w:t>
      </w:r>
      <w:r>
        <w:rPr>
          <w:rFonts w:hint="eastAsia" w:ascii="楷体" w:hAnsi="楷体" w:eastAsia="楷体" w:cs="楷体"/>
          <w:b/>
          <w:bCs/>
          <w:sz w:val="24"/>
          <w:szCs w:val="24"/>
          <w:lang w:eastAsia="zh"/>
        </w:rPr>
        <w:t>地</w:t>
      </w:r>
      <w:r>
        <w:rPr>
          <w:rFonts w:hint="eastAsia" w:ascii="楷体" w:hAnsi="楷体" w:eastAsia="楷体" w:cs="楷体"/>
          <w:b/>
          <w:bCs/>
          <w:sz w:val="24"/>
          <w:szCs w:val="24"/>
        </w:rPr>
        <w:t>收割二级市场投资人之后，他们的社会地位，财产状况，人生成就都实现了飞跃！这种飞跃建立在整个二级市场投资人伤痕累累、血流成河的基础上。员工们在券商、保荐人等中介机构的协助下，成功</w:t>
      </w:r>
      <w:r>
        <w:rPr>
          <w:rFonts w:hint="eastAsia" w:ascii="楷体" w:hAnsi="楷体" w:eastAsia="楷体" w:cs="楷体"/>
          <w:b/>
          <w:bCs/>
          <w:sz w:val="24"/>
          <w:szCs w:val="24"/>
          <w:lang w:eastAsia="zh"/>
        </w:rPr>
        <w:t>地</w:t>
      </w:r>
      <w:r>
        <w:rPr>
          <w:rFonts w:hint="eastAsia" w:ascii="楷体" w:hAnsi="楷体" w:eastAsia="楷体" w:cs="楷体"/>
          <w:b/>
          <w:bCs/>
          <w:sz w:val="24"/>
          <w:szCs w:val="24"/>
        </w:rPr>
        <w:t>利用现有的规则体系，在完全没有创造一分钱的社会财富增加，完全没有创造一分钱的其他任何主体财富增加的情况下，就实现了自身财富的巨额飞跃。这就是为什么我的研究最终发现，中国股市周期性崩溃和一系列严重问题的深层次本质原因是割韭菜盈利模式导致的，因为这种割韭菜盈利模式是不创造哪怕一分钱的社会总财富的增加情况下的，收割者所采取的具体的收割方式背后的本质是欺骗。通过欺骗的手段收割者把大众的财产收割到自己手里了。这就</w:t>
      </w:r>
      <w:r>
        <w:rPr>
          <w:rFonts w:hint="eastAsia" w:ascii="楷体" w:hAnsi="楷体" w:eastAsia="楷体" w:cs="楷体"/>
          <w:b/>
          <w:bCs/>
          <w:sz w:val="24"/>
          <w:szCs w:val="24"/>
          <w:lang w:eastAsia="zh"/>
        </w:rPr>
        <w:t>必然会</w:t>
      </w:r>
      <w:r>
        <w:rPr>
          <w:rFonts w:hint="eastAsia" w:ascii="楷体" w:hAnsi="楷体" w:eastAsia="楷体" w:cs="楷体"/>
          <w:b/>
          <w:bCs/>
          <w:sz w:val="24"/>
          <w:szCs w:val="24"/>
        </w:rPr>
        <w:t>引发危机和崩溃，就像庞氏骗局把大众的钱骗到组织者的手里，因为庞氏骗局本身没有创造任何一分钱的社会财富增加，只是一种对大众的欺骗和掠夺，必然引发危机和崩溃。当资本市场不是靠创造财富，不是靠创造他人利益的增加之后再实现自己的利益，而是在存量财富中少部分人靠欺骗和掠夺把大众的财产掠夺到自己手里，而且这种方式已经主流化了，这个市场一定是要周期性崩溃，一定是困难重重的。</w:t>
      </w:r>
      <w:r>
        <w:rPr>
          <w:rFonts w:hint="eastAsia" w:ascii="楷体" w:hAnsi="楷体" w:eastAsia="楷体" w:cs="楷体"/>
          <w:sz w:val="24"/>
          <w:szCs w:val="24"/>
        </w:rPr>
        <w:t>这种割韭菜盈利模式割完一茬后需要休养生息，过几年再割新一茬。于是表现为中国股市周期性崩溃。</w:t>
      </w:r>
    </w:p>
    <w:p>
      <w:pPr>
        <w:shd w:val="clear" w:color="auto" w:fill="FFFFFF"/>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包括金帝股份的员工持股，包括其他收割者通过收割实现的财富飞跃，是“合法合规”。我之所以要给合法合规4个字加上引号，是因为从现有的法律体系和规则体系来看，这些利用高开盘价高位减持成功收割二级市场投资人的获利者，并没有违反任何一个法律和规则，从形式上他们没有违法，但从本质上他们跟入室抢劫、跟盗窃一样是把别人的财产硬生生</w:t>
      </w:r>
      <w:r>
        <w:rPr>
          <w:rFonts w:hint="eastAsia" w:ascii="楷体" w:hAnsi="楷体" w:eastAsia="楷体" w:cs="楷体"/>
          <w:sz w:val="24"/>
          <w:szCs w:val="24"/>
          <w:lang w:eastAsia="zh"/>
        </w:rPr>
        <w:t>地</w:t>
      </w:r>
      <w:r>
        <w:rPr>
          <w:rFonts w:hint="eastAsia" w:ascii="楷体" w:hAnsi="楷体" w:eastAsia="楷体" w:cs="楷体"/>
          <w:sz w:val="24"/>
          <w:szCs w:val="24"/>
        </w:rPr>
        <w:t>拿到了自己的手里，唯一的不同是他们没有使用暴力。</w:t>
      </w:r>
    </w:p>
    <w:p>
      <w:pPr>
        <w:shd w:val="clear" w:color="auto" w:fill="FFFFFF"/>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在金帝股份的股东明显的收割行为面前市场一片哗然，纷纷</w:t>
      </w:r>
      <w:r>
        <w:rPr>
          <w:rFonts w:hint="eastAsia" w:ascii="楷体" w:hAnsi="楷体" w:eastAsia="楷体" w:cs="楷体"/>
          <w:sz w:val="24"/>
          <w:szCs w:val="24"/>
          <w:lang w:eastAsia="zh"/>
        </w:rPr>
        <w:t>质疑</w:t>
      </w:r>
      <w:r>
        <w:rPr>
          <w:rFonts w:hint="eastAsia" w:ascii="楷体" w:hAnsi="楷体" w:eastAsia="楷体" w:cs="楷体"/>
          <w:sz w:val="24"/>
          <w:szCs w:val="24"/>
        </w:rPr>
        <w:t>，质疑引发监管层的介入，很快监管发布了他们对这一事件的认定，结论是完全合理合法合规，没有任何毛病。以下是监管层就此事的结论：</w:t>
      </w:r>
    </w:p>
    <w:p>
      <w:pPr>
        <w:keepNext w:val="0"/>
        <w:keepLines w:val="0"/>
        <w:pageBreakBefore w:val="0"/>
        <w:widowControl/>
        <w:kinsoku/>
        <w:wordWrap/>
        <w:overflowPunct/>
        <w:topLinePunct w:val="0"/>
        <w:autoSpaceDE/>
        <w:autoSpaceDN/>
        <w:bidi w:val="0"/>
        <w:adjustRightInd/>
        <w:snapToGrid/>
        <w:spacing w:before="0" w:after="0" w:afterLines="50" w:line="240" w:lineRule="auto"/>
        <w:jc w:val="right"/>
        <w:textAlignment w:val="auto"/>
        <w:rPr>
          <w:rFonts w:ascii="楷体" w:hAnsi="楷体" w:eastAsia="楷体" w:cs="楷体"/>
          <w:b/>
          <w:bCs/>
        </w:rPr>
      </w:pPr>
      <w:r>
        <w:drawing>
          <wp:inline distT="0" distB="0" distL="114300" distR="114300">
            <wp:extent cx="5724525" cy="3991610"/>
            <wp:effectExtent l="0" t="0" r="5715" b="1270"/>
            <wp:docPr id="6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
                    <pic:cNvPicPr>
                      <a:picLocks noChangeAspect="1"/>
                    </pic:cNvPicPr>
                  </pic:nvPicPr>
                  <pic:blipFill>
                    <a:blip r:embed="rId71"/>
                    <a:stretch>
                      <a:fillRect/>
                    </a:stretch>
                  </pic:blipFill>
                  <pic:spPr>
                    <a:xfrm>
                      <a:off x="0" y="0"/>
                      <a:ext cx="5724525" cy="3991610"/>
                    </a:xfrm>
                    <a:prstGeom prst="rect">
                      <a:avLst/>
                    </a:prstGeom>
                    <a:noFill/>
                    <a:ln>
                      <a:noFill/>
                    </a:ln>
                  </pic:spPr>
                </pic:pic>
              </a:graphicData>
            </a:graphic>
          </wp:inline>
        </w:drawing>
      </w:r>
    </w:p>
    <w:p>
      <w:pPr>
        <w:shd w:val="clear" w:color="auto" w:fill="FFFFFF"/>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在割韭菜盈利模式日益广泛化和主流化的过程中，割韭菜盈利模式获得的巨额</w:t>
      </w:r>
      <w:r>
        <w:rPr>
          <w:rFonts w:hint="eastAsia" w:ascii="楷体" w:hAnsi="楷体" w:eastAsia="楷体" w:cs="楷体"/>
          <w:sz w:val="24"/>
          <w:szCs w:val="24"/>
          <w:lang w:eastAsia="zh"/>
        </w:rPr>
        <w:t>回报</w:t>
      </w:r>
      <w:r>
        <w:rPr>
          <w:rFonts w:hint="eastAsia" w:ascii="楷体" w:hAnsi="楷体" w:eastAsia="楷体" w:cs="楷体"/>
          <w:sz w:val="24"/>
          <w:szCs w:val="24"/>
        </w:rPr>
        <w:t>不受任何法规的约束，贩毒虽然同样有这样的暴富效应，但是贩毒可能随时掉脑袋。而其他任何不会掉脑袋的合法性的盈利模式均无法超越割韭菜盈利模式带来的巨额利益。由此，</w:t>
      </w:r>
      <w:r>
        <w:rPr>
          <w:rFonts w:hint="eastAsia" w:ascii="楷体" w:hAnsi="楷体" w:eastAsia="楷体" w:cs="楷体"/>
          <w:b/>
          <w:bCs/>
          <w:sz w:val="24"/>
          <w:szCs w:val="24"/>
        </w:rPr>
        <w:t>资本市场上稍微有一些强势地位有一些资源的主体，都自然而然</w:t>
      </w:r>
      <w:r>
        <w:rPr>
          <w:rFonts w:hint="eastAsia" w:ascii="楷体" w:hAnsi="楷体" w:eastAsia="楷体" w:cs="楷体"/>
          <w:b/>
          <w:bCs/>
          <w:sz w:val="24"/>
          <w:szCs w:val="24"/>
          <w:lang w:eastAsia="zh"/>
        </w:rPr>
        <w:t>地</w:t>
      </w:r>
      <w:r>
        <w:rPr>
          <w:rFonts w:hint="eastAsia" w:ascii="楷体" w:hAnsi="楷体" w:eastAsia="楷体" w:cs="楷体"/>
          <w:b/>
          <w:bCs/>
          <w:sz w:val="24"/>
          <w:szCs w:val="24"/>
        </w:rPr>
        <w:t>走上了割韭菜获得超额利益的这条路。中介机构的券商、发行承销商、保荐人等，每一天都想尽一切办法设计出收割二级市场大众的各种收割方式，并通过提供割韭菜服务而获取收入和盈利。</w:t>
      </w:r>
      <w:r>
        <w:rPr>
          <w:rFonts w:hint="eastAsia" w:ascii="楷体" w:hAnsi="楷体" w:eastAsia="楷体" w:cs="楷体"/>
          <w:sz w:val="24"/>
          <w:szCs w:val="24"/>
        </w:rPr>
        <w:t>帮助金帝股份的员工股东突破现有法规的限售期限制，在上市第一天高开盘价出现时就成功减持的方案是由专业机构帮助设计的。金帝股份的员工并没有这方面的专业经验和办法，专门兜售这种绕开法规高位割韭菜方案的机构负责提供专门的办法和方案。这种</w:t>
      </w:r>
      <w:r>
        <w:rPr>
          <w:rFonts w:hint="eastAsia" w:ascii="楷体" w:hAnsi="楷体" w:eastAsia="楷体" w:cs="楷体"/>
          <w:b/>
          <w:bCs/>
          <w:sz w:val="24"/>
          <w:szCs w:val="24"/>
        </w:rPr>
        <w:t>协助割韭菜的办法和方案已经成为专业证券经营机构的重要业务，成为专业证券经营机构重要的主营收入来源。并且在多个专业证券经营机构不断竞争过程中，割韭菜的方法被专业机构不断</w:t>
      </w:r>
      <w:r>
        <w:rPr>
          <w:rFonts w:hint="eastAsia" w:ascii="楷体" w:hAnsi="楷体" w:eastAsia="楷体" w:cs="楷体"/>
          <w:b/>
          <w:bCs/>
          <w:sz w:val="24"/>
          <w:szCs w:val="24"/>
          <w:lang w:eastAsia="zh"/>
        </w:rPr>
        <w:t>地</w:t>
      </w:r>
      <w:r>
        <w:rPr>
          <w:rFonts w:hint="eastAsia" w:ascii="楷体" w:hAnsi="楷体" w:eastAsia="楷体" w:cs="楷体"/>
          <w:b/>
          <w:bCs/>
          <w:sz w:val="24"/>
          <w:szCs w:val="24"/>
        </w:rPr>
        <w:t>创新发明出来。割韭菜盈利模式已经产业化了，形成了产业链一环套一环高效运营不断创新。</w:t>
      </w:r>
      <w:r>
        <w:rPr>
          <w:rFonts w:hint="eastAsia" w:ascii="楷体" w:hAnsi="楷体" w:eastAsia="楷体" w:cs="楷体"/>
          <w:sz w:val="24"/>
          <w:szCs w:val="24"/>
        </w:rPr>
        <w:t>这就是我说的收割社会大众的割韭菜模式主流化了、广泛化了！</w:t>
      </w:r>
    </w:p>
    <w:p>
      <w:pPr>
        <w:shd w:val="clear" w:color="auto" w:fill="FFFFFF"/>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在金帝股份这个并不稀缺普遍存在的案例中，对二级市场大众的伤害跟上市公司有什么关系呢？跟大股东也没有什么关系，那些减持的员工本质上也是小股东。</w:t>
      </w:r>
      <w:r>
        <w:rPr>
          <w:rFonts w:hint="eastAsia" w:ascii="楷体" w:hAnsi="楷体" w:eastAsia="楷体" w:cs="楷体"/>
          <w:b/>
          <w:bCs/>
          <w:sz w:val="24"/>
          <w:szCs w:val="24"/>
        </w:rPr>
        <w:t>以学者刘继鹏和吴晓求为代表的学术界，认为中国股市的问题源于上市公司大股东。而不是源于二级市场存在着严重的问题的观点，是解释不了金帝股份这个显然的收割行为的。中国股市问题的深层次根源一定是在股市内部，上市公司也罢，大股东也罢，它在性质上属于股市的外部因素，认为上市公司和大股东是股市问题的责任方违反了唯物辩证法所说的内因是变化的根据，外因是变化的条件，这个流行的观点是不正确的。</w:t>
      </w:r>
    </w:p>
    <w:p>
      <w:pPr>
        <w:shd w:val="clear" w:color="auto" w:fill="FFFFFF"/>
        <w:adjustRightInd w:val="0"/>
        <w:spacing w:line="360" w:lineRule="auto"/>
        <w:ind w:firstLine="482" w:firstLineChars="200"/>
        <w:jc w:val="both"/>
        <w:rPr>
          <w:rFonts w:ascii="楷体" w:hAnsi="楷体" w:eastAsia="楷体" w:cs="楷体"/>
          <w:b/>
          <w:bCs/>
        </w:rPr>
      </w:pPr>
      <w:r>
        <w:rPr>
          <w:rFonts w:hint="eastAsia" w:ascii="楷体" w:hAnsi="楷体" w:eastAsia="楷体" w:cs="楷体"/>
          <w:b/>
          <w:bCs/>
          <w:sz w:val="24"/>
          <w:szCs w:val="24"/>
        </w:rPr>
        <w:t>没有镰刀的人则想尽办法使自己能</w:t>
      </w:r>
      <w:r>
        <w:rPr>
          <w:rFonts w:hint="eastAsia" w:ascii="楷体" w:hAnsi="楷体" w:eastAsia="楷体" w:cs="楷体"/>
          <w:b/>
          <w:bCs/>
          <w:sz w:val="24"/>
          <w:szCs w:val="24"/>
          <w:lang w:eastAsia="zh"/>
        </w:rPr>
        <w:t>加入</w:t>
      </w:r>
      <w:r>
        <w:rPr>
          <w:rFonts w:hint="eastAsia" w:ascii="楷体" w:hAnsi="楷体" w:eastAsia="楷体" w:cs="楷体"/>
          <w:b/>
          <w:bCs/>
          <w:sz w:val="24"/>
          <w:szCs w:val="24"/>
        </w:rPr>
        <w:t>有镰刀的收割集团，以至于很多基金的销售网站上打出的促销口号是：“打不过就加入”。</w:t>
      </w:r>
    </w:p>
    <w:p>
      <w:pPr>
        <w:keepNext w:val="0"/>
        <w:keepLines w:val="0"/>
        <w:pageBreakBefore w:val="0"/>
        <w:widowControl/>
        <w:kinsoku/>
        <w:wordWrap w:val="0"/>
        <w:overflowPunct/>
        <w:topLinePunct w:val="0"/>
        <w:autoSpaceDE/>
        <w:autoSpaceDN/>
        <w:bidi w:val="0"/>
        <w:adjustRightInd/>
        <w:snapToGrid/>
        <w:spacing w:before="0" w:after="0" w:afterLines="50" w:line="240" w:lineRule="auto"/>
        <w:jc w:val="right"/>
        <w:textAlignment w:val="auto"/>
        <w:rPr>
          <w:rFonts w:hint="default" w:ascii="楷体" w:hAnsi="楷体" w:eastAsia="楷体" w:cs="楷体"/>
          <w:b/>
          <w:bCs/>
          <w:lang w:val="en-US"/>
        </w:rPr>
      </w:pPr>
      <w:r>
        <w:drawing>
          <wp:inline distT="0" distB="0" distL="114300" distR="114300">
            <wp:extent cx="5728970" cy="1384300"/>
            <wp:effectExtent l="0" t="0" r="1270" b="2540"/>
            <wp:docPr id="6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8"/>
                    <pic:cNvPicPr>
                      <a:picLocks noChangeAspect="1"/>
                    </pic:cNvPicPr>
                  </pic:nvPicPr>
                  <pic:blipFill>
                    <a:blip r:embed="rId72"/>
                    <a:stretch>
                      <a:fillRect/>
                    </a:stretch>
                  </pic:blipFill>
                  <pic:spPr>
                    <a:xfrm>
                      <a:off x="0" y="0"/>
                      <a:ext cx="5728970" cy="1384300"/>
                    </a:xfrm>
                    <a:prstGeom prst="rect">
                      <a:avLst/>
                    </a:prstGeom>
                    <a:noFill/>
                    <a:ln>
                      <a:noFill/>
                    </a:ln>
                  </pic:spPr>
                </pic:pic>
              </a:graphicData>
            </a:graphic>
          </wp:inline>
        </w:drawing>
      </w:r>
    </w:p>
    <w:p>
      <w:pPr>
        <w:shd w:val="clear" w:color="auto" w:fill="FFFFFF"/>
        <w:adjustRightInd w:val="0"/>
        <w:spacing w:line="360" w:lineRule="auto"/>
        <w:ind w:firstLine="480" w:firstLineChars="200"/>
        <w:jc w:val="both"/>
        <w:rPr>
          <w:rFonts w:ascii="楷体" w:hAnsi="楷体" w:eastAsia="楷体" w:cs="楷体"/>
          <w:b/>
          <w:bCs/>
          <w:sz w:val="24"/>
          <w:szCs w:val="24"/>
        </w:rPr>
      </w:pPr>
      <w:r>
        <w:rPr>
          <w:rFonts w:hint="eastAsia" w:ascii="楷体" w:hAnsi="楷体" w:eastAsia="楷体" w:cs="楷体"/>
          <w:sz w:val="24"/>
          <w:szCs w:val="24"/>
        </w:rPr>
        <w:t>打不过就加入这种流行的基金销售广告，背后揭示的是在中国资本市场上，割韭菜盈利模式主流化和广泛化之后出现了劣币驱良币的现象，割韭菜盈利模式主流化导致坚持价值投资，能够推动市场稳定的正确的多赢的盈利模式，已经没有办法生存了。资本市场几乎没有价值投资者的立足之地，劣币无限膨胀，良币已经完全被驱逐或者被“劣化”了。</w:t>
      </w:r>
    </w:p>
    <w:p>
      <w:pPr>
        <w:shd w:val="clear" w:color="auto" w:fill="FFFFFF"/>
        <w:adjustRightInd w:val="0"/>
        <w:spacing w:line="360" w:lineRule="auto"/>
        <w:ind w:firstLine="480" w:firstLineChars="200"/>
        <w:jc w:val="both"/>
        <w:rPr>
          <w:rFonts w:hint="eastAsia" w:ascii="楷体" w:hAnsi="楷体" w:eastAsia="楷体" w:cs="楷体"/>
          <w:sz w:val="24"/>
          <w:szCs w:val="24"/>
        </w:rPr>
      </w:pPr>
      <w:r>
        <w:rPr>
          <w:rFonts w:hint="eastAsia" w:ascii="楷体" w:hAnsi="楷体" w:eastAsia="楷体" w:cs="楷体"/>
          <w:sz w:val="24"/>
          <w:szCs w:val="24"/>
        </w:rPr>
        <w:t>媒体舆论把这些收割者视为英雄，视为有超凡投资能力的股神被大家吹捧，几乎没有声音指出这种割韭菜盈利模式对社会对经济的伤害。有影响的资产管理人提出：“不炒泡沫就是穷命！”还有人在显而易见的泡沫面前，去论证没有泡沫，各种投资机构一起炒泡沫是英雄所见略同。出现了以丑为美，出现了聊斋志异中说罗刹海市情况。</w:t>
      </w:r>
    </w:p>
    <w:p>
      <w:pPr>
        <w:shd w:val="clear" w:color="auto" w:fill="FFFFFF"/>
        <w:adjustRightInd w:val="0"/>
        <w:spacing w:line="360" w:lineRule="auto"/>
        <w:ind w:firstLine="480" w:firstLineChars="200"/>
        <w:jc w:val="both"/>
        <w:rPr>
          <w:rFonts w:hint="eastAsia" w:ascii="楷体" w:hAnsi="楷体" w:eastAsia="楷体" w:cs="楷体"/>
          <w:sz w:val="24"/>
          <w:szCs w:val="24"/>
        </w:rPr>
      </w:pPr>
    </w:p>
    <w:p>
      <w:pPr>
        <w:pStyle w:val="3"/>
        <w:numPr>
          <w:ilvl w:val="0"/>
          <w:numId w:val="2"/>
        </w:numPr>
        <w:adjustRightInd w:val="0"/>
      </w:pPr>
      <w:bookmarkStart w:id="14" w:name="_Toc16175"/>
      <w:r>
        <w:t>带</w:t>
      </w:r>
      <w:r>
        <w:rPr>
          <w:rFonts w:hint="eastAsia"/>
          <w:lang w:eastAsia="zh"/>
        </w:rPr>
        <w:t>“</w:t>
      </w:r>
      <w:r>
        <w:t>毒</w:t>
      </w:r>
      <w:r>
        <w:rPr>
          <w:rFonts w:hint="eastAsia"/>
          <w:lang w:eastAsia="zh"/>
        </w:rPr>
        <w:t>”</w:t>
      </w:r>
      <w:r>
        <w:t>的割韭菜盈利模式主流化危害政治稳定和国家安全</w:t>
      </w:r>
      <w:bookmarkEnd w:id="14"/>
    </w:p>
    <w:p>
      <w:pPr>
        <w:shd w:val="clear" w:color="auto" w:fill="FFFFFF"/>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中国有7亿</w:t>
      </w:r>
      <w:r>
        <w:rPr>
          <w:rFonts w:hint="eastAsia" w:ascii="楷体" w:hAnsi="楷体" w:eastAsia="楷体" w:cs="楷体"/>
          <w:sz w:val="24"/>
          <w:szCs w:val="24"/>
          <w:lang w:eastAsia="zh"/>
        </w:rPr>
        <w:t>基</w:t>
      </w:r>
      <w:r>
        <w:rPr>
          <w:rFonts w:hint="eastAsia" w:ascii="楷体" w:hAnsi="楷体" w:eastAsia="楷体" w:cs="楷体"/>
          <w:sz w:val="24"/>
          <w:szCs w:val="24"/>
        </w:rPr>
        <w:t>民，2亿在股票市场直接投资的股民，是相当于所有有经济能力的家庭都参与了股市，但是中国股市长期让大众不赚钱，长期产生巨大的亏损，所以他实际上也是一个民</w:t>
      </w:r>
      <w:r>
        <w:rPr>
          <w:rFonts w:hint="eastAsia" w:ascii="楷体" w:hAnsi="楷体" w:eastAsia="楷体" w:cs="楷体"/>
          <w:sz w:val="24"/>
          <w:szCs w:val="24"/>
          <w:lang w:val="en-US" w:eastAsia="zh-CN"/>
        </w:rPr>
        <w:t>生</w:t>
      </w:r>
      <w:r>
        <w:rPr>
          <w:rFonts w:hint="eastAsia" w:ascii="楷体" w:hAnsi="楷体" w:eastAsia="楷体" w:cs="楷体"/>
          <w:sz w:val="24"/>
          <w:szCs w:val="24"/>
        </w:rPr>
        <w:t>问题和政治问题。为了解决中国资本市场上的一系列问题，在20多年前监管层认为努力的发展机构投资者，很像在资本市场上培养承担着维护公共利益，维护大众利益，促进市场稳定的公职人员。因为在促进这些机构投资者壮大的过程中，他们享受了很多的政策，包括公募基金可以在新股发行的时候获得更多的配售，好让他们早日壮大以后服务社会、服务公众利益、服务资本市场健康、保证市场稳定。他们的出现和壮大先天具有社会责任，先天需要承担维护公共利益的责任，他们很像是行政组织体系为人民利益服务的公职人员。中国资本市场的这些机构投资者和大大小小的基金经理们本质上有公职人员的职责，有维护公共利益，服务社会大众的责任和义务。但是这些人在掌握了定价权成为市场中主导性力量之后，他们的所作所为相当于是鱼肉百姓的贪官污吏。</w:t>
      </w:r>
      <w:r>
        <w:rPr>
          <w:rFonts w:hint="eastAsia" w:ascii="楷体" w:hAnsi="楷体" w:eastAsia="楷体" w:cs="楷体"/>
          <w:b/>
          <w:bCs/>
          <w:sz w:val="24"/>
          <w:szCs w:val="24"/>
        </w:rPr>
        <w:t>他们实际的所作所为跟历史上的那些贪官污吏完全一样，这些历史上的贪官污吏，他们自己是越来越富，老百姓是越来越穷，社会越来越矛盾深重，这些机构投资者发展壮大之后，困难变得越来越严重，出现了一个孔子曾经遭遇过的苛政猛于虎的情况，就是那些用于服务人民的官员成为伤害人民利益的，比老虎还凶猛的禽兽。他们鱼肉百姓收割大众，他们成为百姓生活更困难的原因，而不是使百姓生活更好，社会更和谐的推动力量，这就是我要说的一个最重要的损失，这个损失实际上是政治损失。</w:t>
      </w:r>
      <w:r>
        <w:rPr>
          <w:rFonts w:hint="eastAsia" w:ascii="楷体" w:hAnsi="楷体" w:eastAsia="楷体" w:cs="楷体"/>
          <w:sz w:val="24"/>
          <w:szCs w:val="24"/>
        </w:rPr>
        <w:t>过去有一句话，三年清知府10万雪花银，其实现在很多公募机构的相关人士比三年清知府十万雪花银得到的更多。这个过程是民心受损，人民的利益受损，是政治问题了。已经是官僚体系完全不受高层的控制，在这个过程老百姓民不聊生。</w:t>
      </w:r>
      <w:r>
        <w:rPr>
          <w:rFonts w:hint="eastAsia" w:ascii="楷体" w:hAnsi="楷体" w:eastAsia="楷体" w:cs="楷体"/>
          <w:b/>
          <w:bCs/>
          <w:sz w:val="24"/>
          <w:szCs w:val="24"/>
        </w:rPr>
        <w:t>这就是我特别要指出的，资本市场的问题已经远远超过经济损失了，已经外溢到经济范畴之外。</w:t>
      </w:r>
    </w:p>
    <w:p>
      <w:pPr>
        <w:shd w:val="clear" w:color="auto" w:fill="FFFFFF"/>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中国股市变成了各种各样利益主体和强势主体用各种各样的割韭菜盈利模式在二级市场收割围猎、掠夺二级市场投资人的场所。带毒的割韭菜盈利模式全面泛化并主流化，让中国股市变成了一个大漏斗，人民和社会大众的钱通过掠夺和坑骗方式流向了极少数强势主体。每一次股市大崩溃时，人民和社会大众财富的被掠夺、被毁灭，导致市场上的社会大众和人民群众长期无法获利，成为长期的输家。社会大众和人民的钱不断</w:t>
      </w:r>
      <w:r>
        <w:rPr>
          <w:rFonts w:hint="eastAsia" w:ascii="楷体" w:hAnsi="楷体" w:eastAsia="楷体" w:cs="楷体"/>
          <w:sz w:val="24"/>
          <w:szCs w:val="24"/>
          <w:lang w:eastAsia="zh"/>
        </w:rPr>
        <w:t>地</w:t>
      </w:r>
      <w:r>
        <w:rPr>
          <w:rFonts w:hint="eastAsia" w:ascii="楷体" w:hAnsi="楷体" w:eastAsia="楷体" w:cs="楷体"/>
          <w:sz w:val="24"/>
          <w:szCs w:val="24"/>
        </w:rPr>
        <w:t>转向极少数特殊利益主体，从而形成严重的分配不公平。资本市场出现了与共同富裕相违背的严重的极端两极分化。</w:t>
      </w:r>
      <w:r>
        <w:rPr>
          <w:rFonts w:hint="eastAsia" w:ascii="楷体" w:hAnsi="楷体" w:eastAsia="楷体" w:cs="楷体"/>
          <w:b/>
          <w:bCs/>
          <w:sz w:val="24"/>
          <w:szCs w:val="24"/>
        </w:rPr>
        <w:t>带毒的割韭菜盈利使得社会大众投资者和人民群众成为收割对象和羔羊。人民和大众持续</w:t>
      </w:r>
      <w:r>
        <w:rPr>
          <w:rFonts w:hint="eastAsia" w:ascii="楷体" w:hAnsi="楷体" w:eastAsia="楷体" w:cs="楷体"/>
          <w:b/>
          <w:bCs/>
          <w:sz w:val="24"/>
          <w:szCs w:val="24"/>
          <w:lang w:eastAsia="zh"/>
        </w:rPr>
        <w:t>地</w:t>
      </w:r>
      <w:r>
        <w:rPr>
          <w:rFonts w:hint="eastAsia" w:ascii="楷体" w:hAnsi="楷体" w:eastAsia="楷体" w:cs="楷体"/>
          <w:b/>
          <w:bCs/>
          <w:sz w:val="24"/>
          <w:szCs w:val="24"/>
        </w:rPr>
        <w:t>不断被收割后，导致人民和社会大众消费能力丧失，消费能力丧失又导致需求不振，使得实体经济受损，从而祸及实体经济和社会利益。</w:t>
      </w:r>
      <w:r>
        <w:rPr>
          <w:rFonts w:hint="eastAsia" w:ascii="楷体" w:hAnsi="楷体" w:eastAsia="楷体" w:cs="楷体"/>
          <w:sz w:val="24"/>
          <w:szCs w:val="24"/>
        </w:rPr>
        <w:t>社会大众因为在二级市场遭到围猎出现持续的财产损失，财产损失过程也是人民和社会大众信心全面被摧毁丧失的过程。人民和社会大众的财产损失、信心丧失冲击了社会和谐稳定。</w:t>
      </w:r>
      <w:r>
        <w:rPr>
          <w:rFonts w:hint="eastAsia" w:ascii="楷体" w:hAnsi="楷体" w:eastAsia="楷体" w:cs="楷体"/>
          <w:b/>
          <w:bCs/>
          <w:sz w:val="24"/>
          <w:szCs w:val="24"/>
        </w:rPr>
        <w:t>二级市场的割韭菜盈利模式主流化对实体经济的伤害、对中国社会和谐稳定的伤害已经是当前中国社会最主要的矛盾，最尖锐、最需要改变的问题。实际上已经是一个政治问题了。</w:t>
      </w:r>
      <w:r>
        <w:rPr>
          <w:rFonts w:hint="eastAsia" w:ascii="楷体" w:hAnsi="楷体" w:eastAsia="楷体" w:cs="楷体"/>
          <w:sz w:val="24"/>
          <w:szCs w:val="24"/>
        </w:rPr>
        <w:t>在中国最高决策层中央政治局提出搞活牛，监管部门提出中特估快两年的时间里，中国资本市场上的主流机构几乎没有任何响应，他们完全不配合国家的正确的经济发展战略和金融发展战略。使得国家正确的经济和金融发展战略实现</w:t>
      </w:r>
      <w:r>
        <w:rPr>
          <w:rFonts w:hint="eastAsia" w:ascii="楷体" w:hAnsi="楷体" w:eastAsia="楷体" w:cs="楷体"/>
          <w:sz w:val="24"/>
          <w:szCs w:val="24"/>
          <w:lang w:eastAsia="zh"/>
        </w:rPr>
        <w:t>了</w:t>
      </w:r>
      <w:r>
        <w:rPr>
          <w:rFonts w:hint="eastAsia" w:ascii="楷体" w:hAnsi="楷体" w:eastAsia="楷体" w:cs="楷体"/>
          <w:sz w:val="24"/>
          <w:szCs w:val="24"/>
        </w:rPr>
        <w:t>。在中国股市各种各样的问题从中国最高决策层制定的正确合理的，符合现实的金融经济发展战略执行不了，没有市场主体响应，其实也是一个非常重要的突出的问题。因为割韭菜盈利模式已经盘根错节延续了几十年了，既得利益相当强大。他们已经发展到不按照最高正确的决策去推动落实，甚至完全不响应，不理睬高层的政策要求。</w:t>
      </w:r>
    </w:p>
    <w:p>
      <w:pPr>
        <w:shd w:val="clear" w:color="auto" w:fill="FFFFFF"/>
        <w:adjustRightInd w:val="0"/>
        <w:spacing w:line="360" w:lineRule="auto"/>
        <w:ind w:firstLine="480" w:firstLineChars="200"/>
        <w:jc w:val="both"/>
        <w:rPr>
          <w:rFonts w:hint="eastAsia" w:ascii="楷体" w:hAnsi="楷体" w:eastAsia="楷体" w:cs="楷体"/>
          <w:sz w:val="24"/>
          <w:szCs w:val="24"/>
        </w:rPr>
      </w:pPr>
      <w:r>
        <w:rPr>
          <w:rFonts w:hint="eastAsia" w:ascii="楷体" w:hAnsi="楷体" w:eastAsia="楷体" w:cs="楷体"/>
          <w:sz w:val="24"/>
          <w:szCs w:val="24"/>
        </w:rPr>
        <w:t>2018年下半年特朗普悍然发动了对中国的贸易战。贸易战期间中国股市是全面崩溃的，而且出现一种非常不应该出现的情况，每当特朗普在推特上发表一个看空中国的帖子的时候，次日中国股市就会因为特朗普这个言论而大跌。</w:t>
      </w:r>
    </w:p>
    <w:p>
      <w:pPr>
        <w:shd w:val="clear" w:color="auto" w:fill="FFFFFF"/>
        <w:adjustRightInd w:val="0"/>
        <w:spacing w:line="360" w:lineRule="auto"/>
        <w:ind w:firstLine="440" w:firstLineChars="200"/>
        <w:jc w:val="both"/>
      </w:pPr>
      <w:bookmarkStart w:id="15" w:name="_GoBack"/>
      <w:r>
        <w:drawing>
          <wp:inline distT="0" distB="0" distL="114300" distR="114300">
            <wp:extent cx="5724525" cy="3944620"/>
            <wp:effectExtent l="0" t="0" r="5715" b="2540"/>
            <wp:docPr id="6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9"/>
                    <pic:cNvPicPr>
                      <a:picLocks noChangeAspect="1"/>
                    </pic:cNvPicPr>
                  </pic:nvPicPr>
                  <pic:blipFill>
                    <a:blip r:embed="rId73"/>
                    <a:stretch>
                      <a:fillRect/>
                    </a:stretch>
                  </pic:blipFill>
                  <pic:spPr>
                    <a:xfrm>
                      <a:off x="0" y="0"/>
                      <a:ext cx="5724525" cy="3944620"/>
                    </a:xfrm>
                    <a:prstGeom prst="rect">
                      <a:avLst/>
                    </a:prstGeom>
                    <a:noFill/>
                    <a:ln>
                      <a:noFill/>
                    </a:ln>
                  </pic:spPr>
                </pic:pic>
              </a:graphicData>
            </a:graphic>
          </wp:inline>
        </w:drawing>
      </w:r>
      <w:bookmarkEnd w:id="15"/>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ind w:firstLine="480" w:firstLineChars="200"/>
        <w:jc w:val="both"/>
        <w:textAlignment w:val="auto"/>
        <w:rPr>
          <w:rFonts w:ascii="楷体" w:hAnsi="楷体" w:eastAsia="楷体" w:cs="楷体"/>
          <w:sz w:val="24"/>
          <w:szCs w:val="24"/>
        </w:rPr>
      </w:pPr>
      <w:r>
        <w:rPr>
          <w:rFonts w:hint="eastAsia" w:ascii="楷体" w:hAnsi="楷体" w:eastAsia="楷体" w:cs="楷体"/>
          <w:sz w:val="24"/>
          <w:szCs w:val="24"/>
        </w:rPr>
        <w:t>整个2018年下半年中国基于公理和正义果断</w:t>
      </w:r>
      <w:r>
        <w:rPr>
          <w:rFonts w:hint="eastAsia" w:ascii="楷体" w:hAnsi="楷体" w:eastAsia="楷体" w:cs="楷体"/>
          <w:sz w:val="24"/>
          <w:szCs w:val="24"/>
          <w:lang w:eastAsia="zh"/>
        </w:rPr>
        <w:t>地面</w:t>
      </w:r>
      <w:r>
        <w:rPr>
          <w:rFonts w:hint="eastAsia" w:ascii="楷体" w:hAnsi="楷体" w:eastAsia="楷体" w:cs="楷体"/>
          <w:sz w:val="24"/>
          <w:szCs w:val="24"/>
        </w:rPr>
        <w:t>对美国发起的违反人类共同利益的损人不利己的贸易战的过程中，内在的需要全国人民同仇敌忾，尤其是股票市场要稳定起来，这样才能够挫败美国方面发起的贸易战，但实际上的事实是在贸易战发生时中国股市全面崩溃，而且特朗普发的那些推特立即就会持续</w:t>
      </w:r>
      <w:r>
        <w:rPr>
          <w:rFonts w:hint="eastAsia" w:ascii="楷体" w:hAnsi="楷体" w:eastAsia="楷体" w:cs="楷体"/>
          <w:sz w:val="24"/>
          <w:szCs w:val="24"/>
          <w:lang w:eastAsia="zh"/>
        </w:rPr>
        <w:t>地</w:t>
      </w:r>
      <w:r>
        <w:rPr>
          <w:rFonts w:hint="eastAsia" w:ascii="楷体" w:hAnsi="楷体" w:eastAsia="楷体" w:cs="楷体"/>
          <w:sz w:val="24"/>
          <w:szCs w:val="24"/>
        </w:rPr>
        <w:t>影响中国股市。</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ind w:firstLine="482" w:firstLineChars="200"/>
        <w:jc w:val="both"/>
        <w:textAlignment w:val="auto"/>
        <w:rPr>
          <w:rFonts w:ascii="楷体" w:hAnsi="楷体" w:eastAsia="楷体" w:cs="楷体"/>
          <w:b/>
          <w:bCs/>
        </w:rPr>
      </w:pPr>
      <w:r>
        <w:rPr>
          <w:rFonts w:hint="eastAsia" w:ascii="楷体" w:hAnsi="楷体" w:eastAsia="楷体" w:cs="楷体"/>
          <w:b/>
          <w:bCs/>
          <w:sz w:val="24"/>
          <w:szCs w:val="24"/>
        </w:rPr>
        <w:t>中国股市的那么多金融机构、投资机构，公募机构和专业人士实际上还有一个身份是中国的金融国防军。那些公募机构，大大小小的基金和基金经理，相当于是金融国防军的各级将领，他们有一种责任和义务带领中国投资人守护好中国的金融市场，稳定守护好中国的金融长城，这是他们的责任，任何一个国家的主流机构都有这个责任，维护自己金融市场的稳定承担着金融国防军的职责。</w:t>
      </w:r>
      <w:r>
        <w:rPr>
          <w:rFonts w:hint="eastAsia" w:ascii="楷体" w:hAnsi="楷体" w:eastAsia="楷体" w:cs="楷体"/>
          <w:sz w:val="24"/>
          <w:szCs w:val="24"/>
        </w:rPr>
        <w:t>但是我们看到2018年乃至2024年中国最需要金融稳定的时候，2018年是需要对抗美国发起的贸易战，2024年需要解决房地产调整过程中经济动力的问题，但是市场社会最需要资本市场稳定向上的过程中，大幅下跌领跌市场带崩市场的竟然都是公募基金重仓股。下图是自2023、2024年股市崩溃过程中，公募基金重仓股和上证指数的对比，可以看到公募基金重仓股是极端的涨跌，暴涨暴跌，其涨幅和跌幅都大幅高于上证指数。所以公募基金重仓股是市场不稳定的原因，他们带崩了市场。</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ind w:firstLine="482" w:firstLineChars="200"/>
        <w:jc w:val="both"/>
        <w:textAlignment w:val="auto"/>
        <w:rPr>
          <w:rFonts w:hint="eastAsia" w:eastAsia="楷体"/>
          <w:color w:val="000000"/>
          <w:lang w:eastAsia="zh"/>
        </w:rPr>
      </w:pPr>
      <w:r>
        <w:rPr>
          <w:rFonts w:hint="eastAsia" w:ascii="楷体" w:hAnsi="楷体" w:eastAsia="楷体" w:cs="楷体"/>
          <w:b/>
          <w:bCs/>
          <w:sz w:val="24"/>
          <w:szCs w:val="24"/>
        </w:rPr>
        <w:t>资本市场中有责任维护市场稳定，维护金融稳定，维护金融安全的主流机构，不仅不承担这个固有的责任，反而成为社会危机的始作俑者，这个时候我们实际上看到的是金融安全、金融国防安全的崩溃。</w:t>
      </w:r>
      <w:r>
        <w:rPr>
          <w:rFonts w:hint="eastAsia" w:ascii="楷体" w:hAnsi="楷体" w:eastAsia="楷体" w:cs="楷体"/>
          <w:sz w:val="24"/>
          <w:szCs w:val="24"/>
        </w:rPr>
        <w:t>我想起了鸦片战争爆发之前林则徐所说的：“中原几无御敌之兵。”这就是我作为一个金融市场的普通参与者，忧国忧民不得不说的话，资本市场已经严重到这个程度</w:t>
      </w:r>
      <w:r>
        <w:rPr>
          <w:rFonts w:hint="eastAsia" w:ascii="楷体" w:hAnsi="楷体" w:eastAsia="楷体" w:cs="楷体"/>
          <w:sz w:val="24"/>
          <w:szCs w:val="24"/>
          <w:lang w:eastAsia="zh"/>
        </w:rPr>
        <w:t>。</w:t>
      </w:r>
    </w:p>
    <w:p>
      <w:pPr>
        <w:keepNext w:val="0"/>
        <w:keepLines w:val="0"/>
        <w:pageBreakBefore w:val="0"/>
        <w:widowControl/>
        <w:shd w:val="clear" w:color="auto" w:fill="FFFFFF"/>
        <w:kinsoku/>
        <w:wordWrap w:val="0"/>
        <w:overflowPunct/>
        <w:topLinePunct w:val="0"/>
        <w:autoSpaceDE/>
        <w:autoSpaceDN/>
        <w:bidi w:val="0"/>
        <w:adjustRightInd w:val="0"/>
        <w:snapToGrid/>
        <w:spacing w:before="0" w:after="0" w:afterLines="100" w:line="240" w:lineRule="auto"/>
        <w:jc w:val="right"/>
        <w:textAlignment w:val="auto"/>
      </w:pPr>
      <w:r>
        <w:drawing>
          <wp:inline distT="0" distB="0" distL="114300" distR="114300">
            <wp:extent cx="5725795" cy="3045460"/>
            <wp:effectExtent l="0" t="0" r="4445" b="2540"/>
            <wp:docPr id="6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0"/>
                    <pic:cNvPicPr>
                      <a:picLocks noChangeAspect="1"/>
                    </pic:cNvPicPr>
                  </pic:nvPicPr>
                  <pic:blipFill>
                    <a:blip r:embed="rId74"/>
                    <a:stretch>
                      <a:fillRect/>
                    </a:stretch>
                  </pic:blipFill>
                  <pic:spPr>
                    <a:xfrm>
                      <a:off x="0" y="0"/>
                      <a:ext cx="5725795" cy="3045460"/>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val="0"/>
        <w:snapToGrid/>
        <w:spacing w:before="0" w:after="0" w:afterLines="100" w:line="240" w:lineRule="auto"/>
        <w:jc w:val="right"/>
        <w:textAlignment w:val="auto"/>
        <w:rPr>
          <w:rFonts w:hint="default" w:ascii="楷体" w:hAnsi="楷体" w:eastAsia="楷体" w:cs="楷体"/>
          <w:b/>
          <w:bCs/>
          <w:lang w:val="en-US"/>
        </w:rPr>
      </w:pPr>
      <w:r>
        <w:drawing>
          <wp:inline distT="0" distB="0" distL="114300" distR="114300">
            <wp:extent cx="5724525" cy="3088005"/>
            <wp:effectExtent l="0" t="0" r="5715" b="5715"/>
            <wp:docPr id="6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1"/>
                    <pic:cNvPicPr>
                      <a:picLocks noChangeAspect="1"/>
                    </pic:cNvPicPr>
                  </pic:nvPicPr>
                  <pic:blipFill>
                    <a:blip r:embed="rId75"/>
                    <a:stretch>
                      <a:fillRect/>
                    </a:stretch>
                  </pic:blipFill>
                  <pic:spPr>
                    <a:xfrm>
                      <a:off x="0" y="0"/>
                      <a:ext cx="5724525" cy="3088005"/>
                    </a:xfrm>
                    <a:prstGeom prst="rect">
                      <a:avLst/>
                    </a:prstGeom>
                    <a:noFill/>
                    <a:ln>
                      <a:noFill/>
                    </a:ln>
                  </pic:spPr>
                </pic:pic>
              </a:graphicData>
            </a:graphic>
          </wp:inline>
        </w:drawing>
      </w:r>
    </w:p>
    <w:p>
      <w:pPr>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西游记中，每当唐僧遇到妖魔鬼怪，无能的猪八戒虽然救不了唐僧，但是他会急匆匆</w:t>
      </w:r>
      <w:r>
        <w:rPr>
          <w:rFonts w:hint="eastAsia" w:ascii="楷体" w:hAnsi="楷体" w:eastAsia="楷体" w:cs="楷体"/>
          <w:sz w:val="24"/>
          <w:szCs w:val="24"/>
          <w:lang w:eastAsia="zh"/>
        </w:rPr>
        <w:t>地</w:t>
      </w:r>
      <w:r>
        <w:rPr>
          <w:rFonts w:hint="eastAsia" w:ascii="楷体" w:hAnsi="楷体" w:eastAsia="楷体" w:cs="楷体"/>
          <w:sz w:val="24"/>
          <w:szCs w:val="24"/>
        </w:rPr>
        <w:t>找孙悟空大声喊道：大师兄！师傅被妖怪抓走了！得到消息的孙悟空立即想方设法克服重重困难将唐僧救出来，如果最后孙悟空也不能搭救唐僧，观音菩萨总是适时</w:t>
      </w:r>
      <w:r>
        <w:rPr>
          <w:rFonts w:hint="eastAsia" w:ascii="楷体" w:hAnsi="楷体" w:eastAsia="楷体" w:cs="楷体"/>
          <w:sz w:val="24"/>
          <w:szCs w:val="24"/>
          <w:lang w:eastAsia="zh"/>
        </w:rPr>
        <w:t>地</w:t>
      </w:r>
      <w:r>
        <w:rPr>
          <w:rFonts w:hint="eastAsia" w:ascii="楷体" w:hAnsi="楷体" w:eastAsia="楷体" w:cs="楷体"/>
          <w:sz w:val="24"/>
          <w:szCs w:val="24"/>
        </w:rPr>
        <w:t>出现施展法力，将妖魔鬼怪制服救出唐僧，从而唐僧在路上虽然遇到了九九八十一难，但最终成功地取到了真经。我们看在中国资本市场上已经出现了把大众投资者当唐僧肉，各类强势主体如妖魔鬼怪一样争着吃唐僧肉的过程中，既没有猪八戒的提醒，也没有孙悟空的一跃而起，更没有观音菩萨的关键时刻出面保护。于是中国资本市场的大众投资者一茬一茬</w:t>
      </w:r>
      <w:r>
        <w:rPr>
          <w:rFonts w:hint="eastAsia" w:ascii="楷体" w:hAnsi="楷体" w:eastAsia="楷体" w:cs="楷体"/>
          <w:sz w:val="24"/>
          <w:szCs w:val="24"/>
          <w:lang w:eastAsia="zh"/>
        </w:rPr>
        <w:t>地</w:t>
      </w:r>
      <w:r>
        <w:rPr>
          <w:rFonts w:hint="eastAsia" w:ascii="楷体" w:hAnsi="楷体" w:eastAsia="楷体" w:cs="楷体"/>
          <w:sz w:val="24"/>
          <w:szCs w:val="24"/>
        </w:rPr>
        <w:t>被收割，一批一批</w:t>
      </w:r>
      <w:r>
        <w:rPr>
          <w:rFonts w:hint="eastAsia" w:ascii="楷体" w:hAnsi="楷体" w:eastAsia="楷体" w:cs="楷体"/>
          <w:sz w:val="24"/>
          <w:szCs w:val="24"/>
          <w:lang w:eastAsia="zh"/>
        </w:rPr>
        <w:t>地</w:t>
      </w:r>
      <w:r>
        <w:rPr>
          <w:rFonts w:hint="eastAsia" w:ascii="楷体" w:hAnsi="楷体" w:eastAsia="楷体" w:cs="楷体"/>
          <w:sz w:val="24"/>
          <w:szCs w:val="24"/>
        </w:rPr>
        <w:t>倒下，普遍不挣钱，市场也定期崩溃。</w:t>
      </w:r>
    </w:p>
    <w:p>
      <w:pPr>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我们可以看到基金的投资者不挣钱是因为基金在运营过程中，基金管理人走向类似于庞氏骗局的割韭菜盈利模式，二级市场参与新股的投资者不挣钱</w:t>
      </w:r>
      <w:r>
        <w:rPr>
          <w:rFonts w:hint="eastAsia" w:ascii="楷体" w:hAnsi="楷体" w:eastAsia="楷体" w:cs="楷体"/>
          <w:sz w:val="24"/>
          <w:szCs w:val="24"/>
          <w:lang w:eastAsia="zh"/>
        </w:rPr>
        <w:t>，</w:t>
      </w:r>
      <w:r>
        <w:rPr>
          <w:rFonts w:hint="eastAsia" w:ascii="楷体" w:hAnsi="楷体" w:eastAsia="楷体" w:cs="楷体"/>
          <w:sz w:val="24"/>
          <w:szCs w:val="24"/>
        </w:rPr>
        <w:t>是因为新股在上市交易过程中由二级市场参与新股定价的机构，搞出了一个新股交易过程中的割韭菜盈利模式，导致二级市场参与买入的普通投资者的不挣钱，归根结底是割韭菜盈利模式的普遍化，这就是我说的割韭菜盈利模式已经泛化了，已经存在于各个环节各个领域</w:t>
      </w:r>
      <w:r>
        <w:rPr>
          <w:rFonts w:hint="eastAsia" w:ascii="楷体" w:hAnsi="楷体" w:eastAsia="楷体" w:cs="楷体"/>
          <w:sz w:val="24"/>
          <w:szCs w:val="24"/>
          <w:lang w:eastAsia="zh"/>
        </w:rPr>
        <w:t>。</w:t>
      </w:r>
      <w:r>
        <w:rPr>
          <w:rFonts w:hint="eastAsia" w:ascii="楷体" w:hAnsi="楷体" w:eastAsia="楷体" w:cs="楷体"/>
          <w:sz w:val="24"/>
          <w:szCs w:val="24"/>
        </w:rPr>
        <w:t>所以到处都是在割韭菜，到处都是在以投资者为盈利对象进行收割。中国股市过去30年乱象丛生、困难重重，投资者长期不挣钱等一系列问题的根本原因就是整个二级市场的机构投资者的盈利模式是建立在收割投资人之上的，而且这种割韭菜的模式多种多样五花八门，已经走上了主流化，从而整个市场就不可能有健康了。如果一个市场上主流投资机构被赋予稳定市场、给股票合理定价的责任，但这些机构投资者不承担这个责任，而是钻研出了一种收割其他投资者的盈利模式，凭借这种盈利模式，他们可以赚得更多，更快，于是他们专心致志</w:t>
      </w:r>
      <w:r>
        <w:rPr>
          <w:rFonts w:hint="eastAsia" w:ascii="楷体" w:hAnsi="楷体" w:eastAsia="楷体" w:cs="楷体"/>
          <w:sz w:val="24"/>
          <w:szCs w:val="24"/>
          <w:lang w:eastAsia="zh"/>
        </w:rPr>
        <w:t>地</w:t>
      </w:r>
      <w:r>
        <w:rPr>
          <w:rFonts w:hint="eastAsia" w:ascii="楷体" w:hAnsi="楷体" w:eastAsia="楷体" w:cs="楷体"/>
          <w:sz w:val="24"/>
          <w:szCs w:val="24"/>
        </w:rPr>
        <w:t>去用这种模式让自己快速致富，从而使得这个市场上机构投资者的主流盈利模式都是各种各样的割韭菜收割二级市场投资者，那在这种市场环境中，大部分投资者自然是不可能赚钱的，因为每一个投资者都变成了唐僧肉。而且在投资者不能赚钱的时候，整个市场的生态恶化了，生态危机化了，所以市场就会周期性</w:t>
      </w:r>
      <w:r>
        <w:rPr>
          <w:rFonts w:hint="eastAsia" w:ascii="楷体" w:hAnsi="楷体" w:eastAsia="楷体" w:cs="楷体"/>
          <w:sz w:val="24"/>
          <w:szCs w:val="24"/>
          <w:lang w:eastAsia="zh"/>
        </w:rPr>
        <w:t>地</w:t>
      </w:r>
      <w:r>
        <w:rPr>
          <w:rFonts w:hint="eastAsia" w:ascii="楷体" w:hAnsi="楷体" w:eastAsia="楷体" w:cs="楷体"/>
          <w:sz w:val="24"/>
          <w:szCs w:val="24"/>
        </w:rPr>
        <w:t>崩溃。</w:t>
      </w:r>
    </w:p>
    <w:p>
      <w:pPr>
        <w:shd w:val="clear" w:color="auto" w:fill="FFFFFF"/>
        <w:adjustRightInd w:val="0"/>
        <w:spacing w:line="360" w:lineRule="auto"/>
        <w:ind w:firstLine="482" w:firstLineChars="200"/>
        <w:jc w:val="both"/>
        <w:rPr>
          <w:rFonts w:ascii="楷体" w:hAnsi="楷体" w:eastAsia="楷体" w:cs="楷体"/>
          <w:sz w:val="24"/>
          <w:szCs w:val="24"/>
        </w:rPr>
      </w:pPr>
      <w:r>
        <w:rPr>
          <w:rFonts w:hint="eastAsia" w:ascii="楷体" w:hAnsi="楷体" w:eastAsia="楷体" w:cs="楷体"/>
          <w:b/>
          <w:bCs/>
          <w:sz w:val="24"/>
          <w:szCs w:val="24"/>
        </w:rPr>
        <w:t>全部原因就是强势主体在二级市场上全面割韭菜的盈利模式主流化。而监管层要么就是因为认知不到位，不知道这个市场的危机源泉是割韭菜盈利模式主流化，要么就是视而不见</w:t>
      </w:r>
      <w:r>
        <w:rPr>
          <w:rFonts w:hint="eastAsia" w:ascii="楷体" w:hAnsi="楷体" w:eastAsia="楷体" w:cs="楷体"/>
          <w:b/>
          <w:bCs/>
          <w:sz w:val="24"/>
          <w:szCs w:val="24"/>
          <w:lang w:eastAsia="zh"/>
        </w:rPr>
        <w:t>、</w:t>
      </w:r>
      <w:r>
        <w:rPr>
          <w:rFonts w:hint="eastAsia" w:ascii="楷体" w:hAnsi="楷体" w:eastAsia="楷体" w:cs="楷体"/>
          <w:b/>
          <w:bCs/>
          <w:sz w:val="24"/>
          <w:szCs w:val="24"/>
        </w:rPr>
        <w:t>不作为。于是中国股市出现周期性崩溃、困难重重。中国股市主流机构、强势主体的盈利模式不需要股价合理，他们的利益需要让股价估值不健康、严重泡沫化、严重扭曲，以便收割社会大众和人民的财富。</w:t>
      </w:r>
    </w:p>
    <w:p>
      <w:pPr>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这就是真相，虽然有点儿残酷和悲哀，但确实是真实的。</w:t>
      </w:r>
    </w:p>
    <w:p>
      <w:pPr>
        <w:adjustRightInd w:val="0"/>
        <w:spacing w:line="360" w:lineRule="auto"/>
        <w:ind w:firstLine="480" w:firstLineChars="200"/>
        <w:jc w:val="both"/>
        <w:rPr>
          <w:rFonts w:ascii="楷体" w:hAnsi="楷体" w:eastAsia="楷体" w:cs="楷体"/>
          <w:sz w:val="24"/>
          <w:szCs w:val="24"/>
        </w:rPr>
      </w:pPr>
      <w:r>
        <w:rPr>
          <w:rFonts w:hint="eastAsia" w:ascii="楷体" w:hAnsi="楷体" w:eastAsia="楷体" w:cs="楷体"/>
          <w:sz w:val="24"/>
          <w:szCs w:val="24"/>
        </w:rPr>
        <w:t>我分类统计资本市场上主流资金的理念和行为对资本市场本身</w:t>
      </w:r>
      <w:r>
        <w:rPr>
          <w:rFonts w:hint="eastAsia" w:ascii="楷体" w:hAnsi="楷体" w:eastAsia="楷体" w:cs="楷体"/>
          <w:sz w:val="24"/>
          <w:szCs w:val="24"/>
          <w:lang w:eastAsia="zh"/>
        </w:rPr>
        <w:t>（</w:t>
      </w:r>
      <w:r>
        <w:rPr>
          <w:rFonts w:hint="eastAsia" w:ascii="楷体" w:hAnsi="楷体" w:eastAsia="楷体" w:cs="楷体"/>
          <w:sz w:val="24"/>
          <w:szCs w:val="24"/>
        </w:rPr>
        <w:t>包括基本面实体经济、包括社会、包括基金出资人的影响</w:t>
      </w:r>
      <w:r>
        <w:rPr>
          <w:rFonts w:hint="eastAsia" w:ascii="楷体" w:hAnsi="楷体" w:eastAsia="楷体" w:cs="楷体"/>
          <w:sz w:val="24"/>
          <w:szCs w:val="24"/>
          <w:lang w:eastAsia="zh"/>
        </w:rPr>
        <w:t>），</w:t>
      </w:r>
      <w:r>
        <w:rPr>
          <w:rFonts w:hint="eastAsia" w:ascii="楷体" w:hAnsi="楷体" w:eastAsia="楷体" w:cs="楷体"/>
          <w:sz w:val="24"/>
          <w:szCs w:val="24"/>
        </w:rPr>
        <w:t>并用这个分类比较了中国资本市场的现状，结果实在令我非常痛心，也非常难过。我真希望我的统计是错的，我的表述是错的，我的分类是错的，我到今天也很渴望中国的投资者，中国的学术界，中国的监管界能快速</w:t>
      </w:r>
      <w:r>
        <w:rPr>
          <w:rFonts w:hint="eastAsia" w:ascii="楷体" w:hAnsi="楷体" w:eastAsia="楷体" w:cs="楷体"/>
          <w:sz w:val="24"/>
          <w:szCs w:val="24"/>
          <w:lang w:eastAsia="zh"/>
        </w:rPr>
        <w:t>地</w:t>
      </w:r>
      <w:r>
        <w:rPr>
          <w:rFonts w:hint="eastAsia" w:ascii="楷体" w:hAnsi="楷体" w:eastAsia="楷体" w:cs="楷体"/>
          <w:sz w:val="24"/>
          <w:szCs w:val="24"/>
        </w:rPr>
        <w:t>找到证据证明我的这个分类是错的，证明我对中国公募基金主导化的中国资本市场的现状的判断是错的，但是确实是谁也找不出证明我上面这个判断错误的证据，因为那就是事实。</w:t>
      </w:r>
    </w:p>
    <w:p>
      <w:pPr>
        <w:adjustRightInd w:val="0"/>
        <w:spacing w:line="360" w:lineRule="auto"/>
        <w:ind w:firstLine="480" w:firstLineChars="200"/>
        <w:jc w:val="both"/>
        <w:rPr>
          <w:rFonts w:hint="eastAsia" w:ascii="楷体" w:hAnsi="楷体" w:eastAsia="楷体" w:cs="楷体"/>
          <w:sz w:val="24"/>
          <w:szCs w:val="24"/>
        </w:rPr>
      </w:pPr>
      <w:r>
        <w:rPr>
          <w:rFonts w:hint="eastAsia" w:ascii="楷体" w:hAnsi="楷体" w:eastAsia="楷体" w:cs="楷体"/>
          <w:sz w:val="24"/>
          <w:szCs w:val="24"/>
        </w:rPr>
        <w:t>在上文的内容中，提到2021年10月前后由于炒作资金的非法炒作导致煤炭价格短期之内大幅飙升，对市场健康产生严重的伤害和冲击，在这种情况发生的初期，中国发改委就立即进行行政干预，快速</w:t>
      </w:r>
      <w:r>
        <w:rPr>
          <w:rFonts w:hint="eastAsia" w:ascii="楷体" w:hAnsi="楷体" w:eastAsia="楷体" w:cs="楷体"/>
          <w:sz w:val="24"/>
          <w:szCs w:val="24"/>
          <w:lang w:eastAsia="zh"/>
        </w:rPr>
        <w:t>地</w:t>
      </w:r>
      <w:r>
        <w:rPr>
          <w:rFonts w:hint="eastAsia" w:ascii="楷体" w:hAnsi="楷体" w:eastAsia="楷体" w:cs="楷体"/>
          <w:sz w:val="24"/>
          <w:szCs w:val="24"/>
        </w:rPr>
        <w:t>消除了炒作和泡沫，维护了期货市场和实体经济。可见在煤炭价格被恶意疯狂炒作过程中，最终解决问题的是发改委这个监管者。而我们在中国股市周期性大崩溃的过程中，却没有看到如发改委那样的雷厉风行的果断监管。</w:t>
      </w:r>
    </w:p>
    <w:p>
      <w:pPr>
        <w:adjustRightInd w:val="0"/>
        <w:spacing w:line="360" w:lineRule="auto"/>
        <w:ind w:firstLine="480" w:firstLineChars="200"/>
        <w:jc w:val="both"/>
      </w:pPr>
      <w:r>
        <w:rPr>
          <w:rFonts w:hint="eastAsia" w:ascii="楷体" w:hAnsi="楷体" w:eastAsia="楷体" w:cs="楷体"/>
          <w:sz w:val="24"/>
          <w:szCs w:val="24"/>
        </w:rPr>
        <w:t>所以接下来我想讲述的是，</w:t>
      </w:r>
      <w:r>
        <w:rPr>
          <w:rFonts w:hint="eastAsia" w:ascii="楷体" w:hAnsi="楷体" w:eastAsia="楷体" w:cs="楷体"/>
          <w:b/>
          <w:bCs/>
          <w:sz w:val="24"/>
          <w:szCs w:val="24"/>
        </w:rPr>
        <w:t>最终让中国资本市场出现了割韭菜盈利模式主流化、广泛化</w:t>
      </w:r>
      <w:r>
        <w:rPr>
          <w:rFonts w:hint="eastAsia" w:ascii="楷体" w:hAnsi="楷体" w:eastAsia="楷体" w:cs="楷体"/>
          <w:b/>
          <w:bCs/>
          <w:sz w:val="24"/>
          <w:szCs w:val="24"/>
          <w:lang w:eastAsia="zh"/>
        </w:rPr>
        <w:t>，甚至</w:t>
      </w:r>
      <w:r>
        <w:rPr>
          <w:rFonts w:hint="eastAsia" w:ascii="楷体" w:hAnsi="楷体" w:eastAsia="楷体" w:cs="楷体"/>
          <w:b/>
          <w:bCs/>
          <w:sz w:val="24"/>
          <w:szCs w:val="24"/>
        </w:rPr>
        <w:t>劣币驱良币、理性价值投资者无法生存的状态的过程中为什么就没有出现一个强有力的监管者？监管者为什么不监管、不承担责任？监管者在这个过程中起到了什么作用？以及中国股市这么困难重重，在找到问题后怎么样解决问题，如何走向健康？就将会是我下一次报告的内容。</w:t>
      </w:r>
    </w:p>
    <w:p/>
    <w:sectPr>
      <w:footerReference r:id="rId5" w:type="default"/>
      <w:footerReference r:id="rId6" w:type="even"/>
      <w:pgSz w:w="11905" w:h="16838"/>
      <w:pgMar w:top="1803" w:right="1440" w:bottom="1803" w:left="1440" w:header="720" w:footer="720" w:gutter="0"/>
      <w:pgNumType w:fmt="decimal"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7</w:t>
                    </w:r>
                    <w:r>
                      <w:fldChar w:fldCharType="end"/>
                    </w:r>
                  </w:p>
                </w:txbxContent>
              </v:textbox>
            </v:shape>
          </w:pict>
        </mc:Fallback>
      </mc:AlternateContent>
    </w:r>
    <w:r>
      <w:rPr>
        <w:sz w:val="18"/>
      </w:rPr>
      <mc:AlternateContent>
        <mc:Choice Requires="wpg">
          <w:drawing>
            <wp:anchor distT="0" distB="0" distL="114300" distR="114300" simplePos="0" relativeHeight="251659264" behindDoc="0" locked="0" layoutInCell="1" allowOverlap="1">
              <wp:simplePos x="0" y="0"/>
              <wp:positionH relativeFrom="page">
                <wp:posOffset>-217170</wp:posOffset>
              </wp:positionH>
              <wp:positionV relativeFrom="page">
                <wp:posOffset>9615805</wp:posOffset>
              </wp:positionV>
              <wp:extent cx="7776210" cy="1075690"/>
              <wp:effectExtent l="0" t="0" r="8890" b="3810"/>
              <wp:wrapNone/>
              <wp:docPr id="92" name="组合 92"/>
              <wp:cNvGraphicFramePr/>
              <a:graphic xmlns:a="http://schemas.openxmlformats.org/drawingml/2006/main">
                <a:graphicData uri="http://schemas.microsoft.com/office/word/2010/wordprocessingGroup">
                  <wpg:wgp>
                    <wpg:cNvGrpSpPr/>
                    <wpg:grpSpPr>
                      <a:xfrm>
                        <a:off x="0" y="0"/>
                        <a:ext cx="7776210" cy="1075690"/>
                        <a:chOff x="5054" y="15613"/>
                        <a:chExt cx="12246" cy="1694"/>
                      </a:xfrm>
                    </wpg:grpSpPr>
                    <wps:wsp>
                      <wps:cNvPr id="93" name="任意多边形 3"/>
                      <wps:cNvSpPr/>
                      <wps:spPr>
                        <a:xfrm>
                          <a:off x="5067" y="15613"/>
                          <a:ext cx="4256" cy="1496"/>
                        </a:xfrm>
                        <a:custGeom>
                          <a:avLst/>
                          <a:gdLst>
                            <a:gd name="connsiteX0" fmla="*/ 0 w 3812"/>
                            <a:gd name="connsiteY0" fmla="*/ 0 h 1200"/>
                            <a:gd name="connsiteX1" fmla="*/ 2800 w 3812"/>
                            <a:gd name="connsiteY1" fmla="*/ 0 h 1200"/>
                            <a:gd name="connsiteX2" fmla="*/ 3812 w 3812"/>
                            <a:gd name="connsiteY2" fmla="*/ 1200 h 1200"/>
                            <a:gd name="connsiteX3" fmla="*/ 0 w 3812"/>
                            <a:gd name="connsiteY3" fmla="*/ 1200 h 1200"/>
                            <a:gd name="connsiteX4" fmla="*/ 0 w 3812"/>
                            <a:gd name="connsiteY4" fmla="*/ 0 h 1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12" h="1200">
                              <a:moveTo>
                                <a:pt x="0" y="0"/>
                              </a:moveTo>
                              <a:lnTo>
                                <a:pt x="2800" y="0"/>
                              </a:lnTo>
                              <a:lnTo>
                                <a:pt x="3812" y="1200"/>
                              </a:lnTo>
                              <a:lnTo>
                                <a:pt x="0" y="1200"/>
                              </a:lnTo>
                              <a:lnTo>
                                <a:pt x="0" y="0"/>
                              </a:lnTo>
                              <a:close/>
                            </a:path>
                          </a:pathLst>
                        </a:custGeom>
                        <a:solidFill>
                          <a:srgbClr val="FEDDA7">
                            <a:alpha val="5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矩形 1"/>
                      <wps:cNvSpPr/>
                      <wps:spPr>
                        <a:xfrm>
                          <a:off x="5078" y="16564"/>
                          <a:ext cx="12222" cy="612"/>
                        </a:xfrm>
                        <a:prstGeom prst="rect">
                          <a:avLst/>
                        </a:prstGeom>
                        <a:solidFill>
                          <a:srgbClr val="F8CDA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任意多边形 2"/>
                      <wps:cNvSpPr/>
                      <wps:spPr>
                        <a:xfrm>
                          <a:off x="5054" y="16003"/>
                          <a:ext cx="3812" cy="1304"/>
                        </a:xfrm>
                        <a:custGeom>
                          <a:avLst/>
                          <a:gdLst>
                            <a:gd name="connsiteX0" fmla="*/ 0 w 3812"/>
                            <a:gd name="connsiteY0" fmla="*/ 0 h 1200"/>
                            <a:gd name="connsiteX1" fmla="*/ 2800 w 3812"/>
                            <a:gd name="connsiteY1" fmla="*/ 0 h 1200"/>
                            <a:gd name="connsiteX2" fmla="*/ 3812 w 3812"/>
                            <a:gd name="connsiteY2" fmla="*/ 1200 h 1200"/>
                            <a:gd name="connsiteX3" fmla="*/ 0 w 3812"/>
                            <a:gd name="connsiteY3" fmla="*/ 1200 h 1200"/>
                            <a:gd name="connsiteX4" fmla="*/ 0 w 3812"/>
                            <a:gd name="connsiteY4" fmla="*/ 0 h 1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12" h="1200">
                              <a:moveTo>
                                <a:pt x="0" y="0"/>
                              </a:moveTo>
                              <a:lnTo>
                                <a:pt x="2800" y="0"/>
                              </a:lnTo>
                              <a:lnTo>
                                <a:pt x="3812" y="1200"/>
                              </a:lnTo>
                              <a:lnTo>
                                <a:pt x="0" y="1200"/>
                              </a:lnTo>
                              <a:lnTo>
                                <a:pt x="0" y="0"/>
                              </a:lnTo>
                              <a:close/>
                            </a:path>
                          </a:pathLst>
                        </a:custGeom>
                        <a:solidFill>
                          <a:srgbClr val="A91235">
                            <a:alpha val="6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1pt;margin-top:757.15pt;height:84.7pt;width:612.3pt;mso-position-horizontal-relative:page;mso-position-vertical-relative:page;z-index:251659264;mso-width-relative:page;mso-height-relative:page;" coordorigin="5054,15613" coordsize="12246,1694" o:gfxdata="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">
              <o:lock v:ext="edit" aspectratio="f"/>
              <v:shape id="任意多边形 3" o:spid="_x0000_s1026" o:spt="100" style="position:absolute;left:5067;top:15613;height:1496;width:4256;v-text-anchor:middle;" fillcolor="#FEDDA7" filled="t" stroked="f" coordsize="3812,1200" o:gfxdata="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EqaS/&#10;AAAA2wAAAA8AAAAAAAAAAQAgAAAAIgAAAGRycy9kb3ducmV2LnhtbFBLAQIUABQAAAAIAIdO4kAz&#10;LwWeOwAAADkAAAAQAAAAAAAAAAEAIAAAAA4BAABkcnMvc2hhcGV4bWwueG1sUEsFBgAAAAAGAAYA&#10;WwEAALgDAAAAAA==&#10;" path="m0,0l2800,0,3812,1200,0,1200,0,0xe">
                <v:path o:connectlocs="0,0;3126,0;4256,1496;0,1496;0,0" o:connectangles="0,0,0,0,0"/>
                <v:fill on="t" opacity="37355f" focussize="0,0"/>
                <v:stroke on="f" weight="1pt" miterlimit="8" joinstyle="miter"/>
                <v:imagedata o:title=""/>
                <o:lock v:ext="edit" aspectratio="f"/>
              </v:shape>
              <v:rect id="矩形 1" o:spid="_x0000_s1026" o:spt="1" style="position:absolute;left:5078;top:16564;height:612;width:12222;v-text-anchor:middle;" fillcolor="#F8CDAC" filled="t" stroked="f" coordsize="21600,21600" o:gfxdata="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V0gqr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shape id="任意多边形 2" o:spid="_x0000_s1026" o:spt="100" style="position:absolute;left:5054;top:16003;height:1304;width:3812;v-text-anchor:middle;" fillcolor="#A91235" filled="t" stroked="f" coordsize="3812,1200" o:gfxdata="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vzZLsAAADb&#10;AAAADwAAAAAAAAABACAAAAAiAAAAZHJzL2Rvd25yZXYueG1sUEsBAhQAFAAAAAgAh07iQDMvBZ47&#10;AAAAOQAAABAAAAAAAAAAAQAgAAAACgEAAGRycy9zaGFwZXhtbC54bWxQSwUGAAAAAAYABgBbAQAA&#10;tAMAAAAA&#10;" path="m0,0l2800,0,3812,1200,0,1200,0,0xe">
                <v:path o:connectlocs="0,0;2800,0;3812,1304;0,1304;0,0" o:connectangles="0,0,0,0,0"/>
                <v:fill on="t" opacity="43253f" focussize="0,0"/>
                <v:stroke on="f" weight="1pt" miterlimit="8" joinstyle="miter"/>
                <v:imagedata o:title=""/>
                <o:lock v:ext="edit" aspectratio="f"/>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r>
      <w:rPr>
        <w:sz w:val="18"/>
      </w:rPr>
      <mc:AlternateContent>
        <mc:Choice Requires="wpg">
          <w:drawing>
            <wp:anchor distT="0" distB="0" distL="114300" distR="114300" simplePos="0" relativeHeight="251660288" behindDoc="0" locked="0" layoutInCell="1" allowOverlap="1">
              <wp:simplePos x="0" y="0"/>
              <wp:positionH relativeFrom="page">
                <wp:posOffset>-217170</wp:posOffset>
              </wp:positionH>
              <wp:positionV relativeFrom="page">
                <wp:posOffset>9615805</wp:posOffset>
              </wp:positionV>
              <wp:extent cx="7776210" cy="1075690"/>
              <wp:effectExtent l="0" t="0" r="8890" b="3810"/>
              <wp:wrapNone/>
              <wp:docPr id="96" name="组合 96"/>
              <wp:cNvGraphicFramePr/>
              <a:graphic xmlns:a="http://schemas.openxmlformats.org/drawingml/2006/main">
                <a:graphicData uri="http://schemas.microsoft.com/office/word/2010/wordprocessingGroup">
                  <wpg:wgp>
                    <wpg:cNvGrpSpPr/>
                    <wpg:grpSpPr>
                      <a:xfrm>
                        <a:off x="0" y="0"/>
                        <a:ext cx="7776210" cy="1075690"/>
                        <a:chOff x="5054" y="15613"/>
                        <a:chExt cx="12246" cy="1694"/>
                      </a:xfrm>
                    </wpg:grpSpPr>
                    <wps:wsp>
                      <wps:cNvPr id="97" name="任意多边形 3"/>
                      <wps:cNvSpPr/>
                      <wps:spPr>
                        <a:xfrm>
                          <a:off x="5067" y="15613"/>
                          <a:ext cx="4256" cy="1496"/>
                        </a:xfrm>
                        <a:custGeom>
                          <a:avLst/>
                          <a:gdLst>
                            <a:gd name="connsiteX0" fmla="*/ 0 w 3812"/>
                            <a:gd name="connsiteY0" fmla="*/ 0 h 1200"/>
                            <a:gd name="connsiteX1" fmla="*/ 2800 w 3812"/>
                            <a:gd name="connsiteY1" fmla="*/ 0 h 1200"/>
                            <a:gd name="connsiteX2" fmla="*/ 3812 w 3812"/>
                            <a:gd name="connsiteY2" fmla="*/ 1200 h 1200"/>
                            <a:gd name="connsiteX3" fmla="*/ 0 w 3812"/>
                            <a:gd name="connsiteY3" fmla="*/ 1200 h 1200"/>
                            <a:gd name="connsiteX4" fmla="*/ 0 w 3812"/>
                            <a:gd name="connsiteY4" fmla="*/ 0 h 1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12" h="1200">
                              <a:moveTo>
                                <a:pt x="0" y="0"/>
                              </a:moveTo>
                              <a:lnTo>
                                <a:pt x="2800" y="0"/>
                              </a:lnTo>
                              <a:lnTo>
                                <a:pt x="3812" y="1200"/>
                              </a:lnTo>
                              <a:lnTo>
                                <a:pt x="0" y="1200"/>
                              </a:lnTo>
                              <a:lnTo>
                                <a:pt x="0" y="0"/>
                              </a:lnTo>
                              <a:close/>
                            </a:path>
                          </a:pathLst>
                        </a:custGeom>
                        <a:solidFill>
                          <a:srgbClr val="FEDDA7">
                            <a:alpha val="5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8" name="矩形 1"/>
                      <wps:cNvSpPr/>
                      <wps:spPr>
                        <a:xfrm>
                          <a:off x="5078" y="16564"/>
                          <a:ext cx="12222" cy="612"/>
                        </a:xfrm>
                        <a:prstGeom prst="rect">
                          <a:avLst/>
                        </a:prstGeom>
                        <a:solidFill>
                          <a:srgbClr val="F8CDA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 name="任意多边形 2"/>
                      <wps:cNvSpPr/>
                      <wps:spPr>
                        <a:xfrm>
                          <a:off x="5054" y="16003"/>
                          <a:ext cx="3812" cy="1304"/>
                        </a:xfrm>
                        <a:custGeom>
                          <a:avLst/>
                          <a:gdLst>
                            <a:gd name="connsiteX0" fmla="*/ 0 w 3812"/>
                            <a:gd name="connsiteY0" fmla="*/ 0 h 1200"/>
                            <a:gd name="connsiteX1" fmla="*/ 2800 w 3812"/>
                            <a:gd name="connsiteY1" fmla="*/ 0 h 1200"/>
                            <a:gd name="connsiteX2" fmla="*/ 3812 w 3812"/>
                            <a:gd name="connsiteY2" fmla="*/ 1200 h 1200"/>
                            <a:gd name="connsiteX3" fmla="*/ 0 w 3812"/>
                            <a:gd name="connsiteY3" fmla="*/ 1200 h 1200"/>
                            <a:gd name="connsiteX4" fmla="*/ 0 w 3812"/>
                            <a:gd name="connsiteY4" fmla="*/ 0 h 1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12" h="1200">
                              <a:moveTo>
                                <a:pt x="0" y="0"/>
                              </a:moveTo>
                              <a:lnTo>
                                <a:pt x="2800" y="0"/>
                              </a:lnTo>
                              <a:lnTo>
                                <a:pt x="3812" y="1200"/>
                              </a:lnTo>
                              <a:lnTo>
                                <a:pt x="0" y="1200"/>
                              </a:lnTo>
                              <a:lnTo>
                                <a:pt x="0" y="0"/>
                              </a:lnTo>
                              <a:close/>
                            </a:path>
                          </a:pathLst>
                        </a:custGeom>
                        <a:solidFill>
                          <a:srgbClr val="A91235">
                            <a:alpha val="6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1pt;margin-top:757.15pt;height:84.7pt;width:612.3pt;mso-position-horizontal-relative:page;mso-position-vertical-relative:page;z-index:251660288;mso-width-relative:page;mso-height-relative:page;" coordorigin="5054,15613" coordsize="12246,1694" o:gfxdata="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">
              <o:lock v:ext="edit" aspectratio="f"/>
              <v:shape id="任意多边形 3" o:spid="_x0000_s1026" o:spt="100" style="position:absolute;left:5067;top:15613;height:1496;width:4256;v-text-anchor:middle;" fillcolor="#FEDDA7" filled="t" stroked="f" coordsize="3812,1200" o:gfxdata="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r6e/&#10;AAAA2wAAAA8AAAAAAAAAAQAgAAAAIgAAAGRycy9kb3ducmV2LnhtbFBLAQIUABQAAAAIAIdO4kAz&#10;LwWeOwAAADkAAAAQAAAAAAAAAAEAIAAAAA4BAABkcnMvc2hhcGV4bWwueG1sUEsFBgAAAAAGAAYA&#10;WwEAALgDAAAAAA==&#10;" path="m0,0l2800,0,3812,1200,0,1200,0,0xe">
                <v:path o:connectlocs="0,0;3126,0;4256,1496;0,1496;0,0" o:connectangles="0,0,0,0,0"/>
                <v:fill on="t" opacity="37355f" focussize="0,0"/>
                <v:stroke on="f" weight="1pt" miterlimit="8" joinstyle="miter"/>
                <v:imagedata o:title=""/>
                <o:lock v:ext="edit" aspectratio="f"/>
              </v:shape>
              <v:rect id="矩形 1" o:spid="_x0000_s1026" o:spt="1" style="position:absolute;left:5078;top:16564;height:612;width:12222;v-text-anchor:middle;" fillcolor="#F8CDAC" filled="t" stroked="f" coordsize="21600,21600" o:gfxdata="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BAqr7gAAADb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rect>
              <v:shape id="任意多边形 2" o:spid="_x0000_s1026" o:spt="100" style="position:absolute;left:5054;top:16003;height:1304;width:3812;v-text-anchor:middle;" fillcolor="#A91235" filled="t" stroked="f" coordsize="3812,1200" o:gfxdata="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G+WG8AAAA&#10;2wAAAA8AAAAAAAAAAQAgAAAAIgAAAGRycy9kb3ducmV2LnhtbFBLAQIUABQAAAAIAIdO4kAzLwWe&#10;OwAAADkAAAAQAAAAAAAAAAEAIAAAAAsBAABkcnMvc2hhcGV4bWwueG1sUEsFBgAAAAAGAAYAWwEA&#10;ALUDAAAAAA==&#10;" path="m0,0l2800,0,3812,1200,0,1200,0,0xe">
                <v:path o:connectlocs="0,0;2800,0;3812,1304;0,1304;0,0" o:connectangles="0,0,0,0,0"/>
                <v:fill on="t" opacity="43253f" focussize="0,0"/>
                <v:stroke on="f" weight="1pt" miterlimit="8" joinstyle="miter"/>
                <v:imagedata o:title=""/>
                <o:lock v:ext="edit" aspectratio="f"/>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12" w:lineRule="auto"/>
      </w:pPr>
      <w:r>
        <w:separator/>
      </w:r>
    </w:p>
  </w:footnote>
  <w:footnote w:type="continuationSeparator" w:id="1">
    <w:p>
      <w:pPr>
        <w:spacing w:before="0" w:after="0" w:line="312"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C2F3C9"/>
    <w:multiLevelType w:val="singleLevel"/>
    <w:tmpl w:val="AFC2F3C9"/>
    <w:lvl w:ilvl="0" w:tentative="0">
      <w:start w:val="1"/>
      <w:numFmt w:val="bullet"/>
      <w:lvlText w:val=""/>
      <w:lvlJc w:val="left"/>
      <w:pPr>
        <w:ind w:left="420" w:hanging="420"/>
      </w:pPr>
      <w:rPr>
        <w:rFonts w:hint="default" w:ascii="Wingdings" w:hAnsi="Wingdings"/>
      </w:rPr>
    </w:lvl>
  </w:abstractNum>
  <w:abstractNum w:abstractNumId="1">
    <w:nsid w:val="E65A600A"/>
    <w:multiLevelType w:val="singleLevel"/>
    <w:tmpl w:val="E65A600A"/>
    <w:lvl w:ilvl="0" w:tentative="0">
      <w:start w:val="1"/>
      <w:numFmt w:val="bullet"/>
      <w:lvlText w:val=""/>
      <w:lvlJc w:val="left"/>
      <w:pPr>
        <w:tabs>
          <w:tab w:val="left" w:pos="420"/>
        </w:tabs>
        <w:ind w:left="420" w:leftChars="0" w:hanging="210" w:firstLineChars="0"/>
      </w:pPr>
      <w:rPr>
        <w:rFonts w:hint="default" w:ascii="Wingdings" w:hAnsi="Wingdings"/>
      </w:rPr>
    </w:lvl>
  </w:abstractNum>
  <w:abstractNum w:abstractNumId="2">
    <w:nsid w:val="0F0D0A16"/>
    <w:multiLevelType w:val="multilevel"/>
    <w:tmpl w:val="0F0D0A16"/>
    <w:lvl w:ilvl="0" w:tentative="0">
      <w:start w:val="1"/>
      <w:numFmt w:val="chineseCountingThousand"/>
      <w:lvlText w:val="（%1）"/>
      <w:lvlJc w:val="left"/>
      <w:pPr>
        <w:ind w:left="672" w:hanging="672"/>
      </w:pPr>
    </w:lvl>
    <w:lvl w:ilvl="1" w:tentative="0">
      <w:start w:val="1"/>
      <w:numFmt w:val="decimal"/>
      <w:lvlText w:val="%2、"/>
      <w:lvlJc w:val="left"/>
      <w:pPr>
        <w:ind w:left="776" w:hanging="336"/>
      </w:pPr>
    </w:lvl>
    <w:lvl w:ilvl="2" w:tentative="0">
      <w:start w:val="1"/>
      <w:numFmt w:val="lowerLetter"/>
      <w:lvlText w:val="%3)"/>
      <w:lvlJc w:val="left"/>
      <w:pPr>
        <w:ind w:left="1216" w:hanging="336"/>
      </w:pPr>
    </w:lvl>
    <w:lvl w:ilvl="3" w:tentative="0">
      <w:start w:val="1"/>
      <w:numFmt w:val="chineseCountingThousand"/>
      <w:lvlText w:val="（%4）"/>
      <w:lvlJc w:val="left"/>
      <w:pPr>
        <w:ind w:left="1992" w:hanging="672"/>
      </w:pPr>
    </w:lvl>
    <w:lvl w:ilvl="4" w:tentative="0">
      <w:start w:val="1"/>
      <w:numFmt w:val="decimal"/>
      <w:lvlText w:val="%5、"/>
      <w:lvlJc w:val="left"/>
      <w:pPr>
        <w:ind w:left="2096" w:hanging="336"/>
      </w:pPr>
    </w:lvl>
    <w:lvl w:ilvl="5" w:tentative="0">
      <w:start w:val="1"/>
      <w:numFmt w:val="lowerLetter"/>
      <w:lvlText w:val="%6)"/>
      <w:lvlJc w:val="left"/>
      <w:pPr>
        <w:ind w:left="2536" w:hanging="336"/>
      </w:pPr>
    </w:lvl>
    <w:lvl w:ilvl="6" w:tentative="0">
      <w:start w:val="1"/>
      <w:numFmt w:val="chineseCountingThousand"/>
      <w:lvlText w:val="（%7）"/>
      <w:lvlJc w:val="left"/>
      <w:pPr>
        <w:ind w:left="3312" w:hanging="672"/>
      </w:pPr>
    </w:lvl>
    <w:lvl w:ilvl="7" w:tentative="0">
      <w:start w:val="1"/>
      <w:numFmt w:val="decimal"/>
      <w:lvlText w:val="%8、"/>
      <w:lvlJc w:val="left"/>
      <w:pPr>
        <w:ind w:left="3416" w:hanging="336"/>
      </w:pPr>
    </w:lvl>
    <w:lvl w:ilvl="8" w:tentative="0">
      <w:start w:val="1"/>
      <w:numFmt w:val="lowerLetter"/>
      <w:lvlText w:val="%9)"/>
      <w:lvlJc w:val="left"/>
      <w:pPr>
        <w:ind w:left="3856" w:hanging="336"/>
      </w:pPr>
    </w:lvl>
  </w:abstractNum>
  <w:abstractNum w:abstractNumId="3">
    <w:nsid w:val="13955F65"/>
    <w:multiLevelType w:val="multilevel"/>
    <w:tmpl w:val="13955F65"/>
    <w:lvl w:ilvl="0" w:tentative="0">
      <w:start w:val="1"/>
      <w:numFmt w:val="chineseCounting"/>
      <w:suff w:val="nothing"/>
      <w:lvlText w:val="第%1，"/>
      <w:lvlJc w:val="left"/>
      <w:pPr>
        <w:ind w:left="440" w:firstLine="0"/>
      </w:pPr>
      <w:rPr>
        <w:rFonts w:hint="eastAsia"/>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1B361EDC"/>
    <w:multiLevelType w:val="multilevel"/>
    <w:tmpl w:val="1B361EDC"/>
    <w:lvl w:ilvl="0" w:tentative="0">
      <w:start w:val="1"/>
      <w:numFmt w:val="chineseCounting"/>
      <w:suff w:val="nothing"/>
      <w:lvlText w:val="第%1、"/>
      <w:lvlJc w:val="left"/>
      <w:pPr>
        <w:ind w:left="0"/>
      </w:pPr>
      <w:rPr>
        <w:rFonts w:hint="eastAsia"/>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1D6A1149"/>
    <w:multiLevelType w:val="multilevel"/>
    <w:tmpl w:val="1D6A1149"/>
    <w:lvl w:ilvl="0" w:tentative="0">
      <w:start w:val="1"/>
      <w:numFmt w:val="chineseCounting"/>
      <w:suff w:val="nothing"/>
      <w:lvlText w:val="第%1、"/>
      <w:lvlJc w:val="left"/>
      <w:rPr>
        <w:rFonts w:hint="eastAsia"/>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34BECA51"/>
    <w:multiLevelType w:val="singleLevel"/>
    <w:tmpl w:val="34BECA51"/>
    <w:lvl w:ilvl="0" w:tentative="0">
      <w:start w:val="1"/>
      <w:numFmt w:val="bullet"/>
      <w:lvlText w:val=""/>
      <w:lvlJc w:val="left"/>
      <w:pPr>
        <w:ind w:left="420" w:hanging="420"/>
      </w:pPr>
      <w:rPr>
        <w:rFonts w:hint="default" w:ascii="Wingdings" w:hAnsi="Wingdings"/>
      </w:rPr>
    </w:lvl>
  </w:abstractNum>
  <w:abstractNum w:abstractNumId="7">
    <w:nsid w:val="39C90FDD"/>
    <w:multiLevelType w:val="multilevel"/>
    <w:tmpl w:val="39C90FDD"/>
    <w:lvl w:ilvl="0" w:tentative="0">
      <w:start w:val="1"/>
      <w:numFmt w:val="chineseCounting"/>
      <w:suff w:val="nothing"/>
      <w:lvlText w:val="第%1、"/>
      <w:lvlJc w:val="left"/>
      <w:rPr>
        <w:rFonts w:hint="eastAsia"/>
        <w:b/>
        <w:bCs/>
        <w:sz w:val="24"/>
        <w:szCs w:val="24"/>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5EC820A6"/>
    <w:multiLevelType w:val="singleLevel"/>
    <w:tmpl w:val="5EC820A6"/>
    <w:lvl w:ilvl="0" w:tentative="0">
      <w:start w:val="1"/>
      <w:numFmt w:val="bullet"/>
      <w:lvlText w:val=""/>
      <w:lvlJc w:val="left"/>
      <w:pPr>
        <w:ind w:left="420" w:hanging="420"/>
      </w:pPr>
      <w:rPr>
        <w:rFonts w:hint="default" w:ascii="Wingdings" w:hAnsi="Wingdings"/>
      </w:rPr>
    </w:lvl>
  </w:abstractNum>
  <w:num w:numId="1">
    <w:abstractNumId w:val="3"/>
  </w:num>
  <w:num w:numId="2">
    <w:abstractNumId w:val="2"/>
  </w:num>
  <w:num w:numId="3">
    <w:abstractNumId w:val="7"/>
  </w:num>
  <w:num w:numId="4">
    <w:abstractNumId w:val="8"/>
  </w:num>
  <w:num w:numId="5">
    <w:abstractNumId w:val="1"/>
  </w:num>
  <w:num w:numId="6">
    <w:abstractNumId w:val="6"/>
  </w:num>
  <w:num w:numId="7">
    <w:abstractNumId w:val="5"/>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balanceSingleByteDoubleByteWidth/>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E0YTM2ZDhhNmZkZjZhNjYwZWZmNzMxYmU0OTc4MDcifQ=="/>
  </w:docVars>
  <w:rsids>
    <w:rsidRoot w:val="006D1D26"/>
    <w:rsid w:val="0012226A"/>
    <w:rsid w:val="0038317E"/>
    <w:rsid w:val="004D0DC1"/>
    <w:rsid w:val="006D1D26"/>
    <w:rsid w:val="00872087"/>
    <w:rsid w:val="00AD3FE9"/>
    <w:rsid w:val="00B23064"/>
    <w:rsid w:val="00C352E2"/>
    <w:rsid w:val="00CF4358"/>
    <w:rsid w:val="00F26014"/>
    <w:rsid w:val="00F37078"/>
    <w:rsid w:val="00F5153F"/>
    <w:rsid w:val="0B2072B3"/>
    <w:rsid w:val="0B776EC0"/>
    <w:rsid w:val="11AE6500"/>
    <w:rsid w:val="149363ED"/>
    <w:rsid w:val="14DF516F"/>
    <w:rsid w:val="17EF70FC"/>
    <w:rsid w:val="185341E5"/>
    <w:rsid w:val="1A194CD2"/>
    <w:rsid w:val="1BC56420"/>
    <w:rsid w:val="1C4D0E04"/>
    <w:rsid w:val="1EFF7DCC"/>
    <w:rsid w:val="1F5A789E"/>
    <w:rsid w:val="20972D0B"/>
    <w:rsid w:val="22C42613"/>
    <w:rsid w:val="25047F39"/>
    <w:rsid w:val="29D8068B"/>
    <w:rsid w:val="2D9256AB"/>
    <w:rsid w:val="2E0E0B66"/>
    <w:rsid w:val="30626DF5"/>
    <w:rsid w:val="326B35A5"/>
    <w:rsid w:val="33613C97"/>
    <w:rsid w:val="337551E4"/>
    <w:rsid w:val="34EC730F"/>
    <w:rsid w:val="370B658B"/>
    <w:rsid w:val="37184804"/>
    <w:rsid w:val="37E7BAAF"/>
    <w:rsid w:val="38C757B4"/>
    <w:rsid w:val="3FFB61AE"/>
    <w:rsid w:val="3FFE8B59"/>
    <w:rsid w:val="44685254"/>
    <w:rsid w:val="47BF062E"/>
    <w:rsid w:val="48F50F17"/>
    <w:rsid w:val="4C9E7102"/>
    <w:rsid w:val="4CB97E79"/>
    <w:rsid w:val="4DDD1C06"/>
    <w:rsid w:val="533E432B"/>
    <w:rsid w:val="5483354A"/>
    <w:rsid w:val="548C0FC4"/>
    <w:rsid w:val="55402605"/>
    <w:rsid w:val="573D0D72"/>
    <w:rsid w:val="588B79B2"/>
    <w:rsid w:val="597B9470"/>
    <w:rsid w:val="5A250E62"/>
    <w:rsid w:val="5AD54636"/>
    <w:rsid w:val="5E115063"/>
    <w:rsid w:val="5E9465B6"/>
    <w:rsid w:val="5EE9BD9D"/>
    <w:rsid w:val="629848C7"/>
    <w:rsid w:val="635345A5"/>
    <w:rsid w:val="63B9154C"/>
    <w:rsid w:val="69A52AEE"/>
    <w:rsid w:val="69BF118F"/>
    <w:rsid w:val="6B68191D"/>
    <w:rsid w:val="6CE90F3F"/>
    <w:rsid w:val="6DFF3D60"/>
    <w:rsid w:val="6E8241A4"/>
    <w:rsid w:val="6F99670D"/>
    <w:rsid w:val="6FFAD998"/>
    <w:rsid w:val="729065C2"/>
    <w:rsid w:val="75F6196B"/>
    <w:rsid w:val="775F062D"/>
    <w:rsid w:val="795C0AAF"/>
    <w:rsid w:val="7E375555"/>
    <w:rsid w:val="7F1F2D19"/>
    <w:rsid w:val="7FEF7189"/>
    <w:rsid w:val="7FFF4EC5"/>
    <w:rsid w:val="977F9F0D"/>
    <w:rsid w:val="ABB38FC0"/>
    <w:rsid w:val="AFFBF79F"/>
    <w:rsid w:val="BED77151"/>
    <w:rsid w:val="CE7F56B9"/>
    <w:rsid w:val="CFFBF83A"/>
    <w:rsid w:val="D3C89EBC"/>
    <w:rsid w:val="D9EFCFB9"/>
    <w:rsid w:val="DBFCBF30"/>
    <w:rsid w:val="DCBE7915"/>
    <w:rsid w:val="DD991BD5"/>
    <w:rsid w:val="DEEF98EA"/>
    <w:rsid w:val="DFDB3543"/>
    <w:rsid w:val="DFF75B17"/>
    <w:rsid w:val="DFFD6378"/>
    <w:rsid w:val="EB3AE7BB"/>
    <w:rsid w:val="EDA850B6"/>
    <w:rsid w:val="EDBF939F"/>
    <w:rsid w:val="EEA7964B"/>
    <w:rsid w:val="EFFBE09F"/>
    <w:rsid w:val="F0FF4BB8"/>
    <w:rsid w:val="F0FF7F3D"/>
    <w:rsid w:val="F4F7E794"/>
    <w:rsid w:val="F7F27977"/>
    <w:rsid w:val="FBDE3C8A"/>
    <w:rsid w:val="FD1D9FEF"/>
    <w:rsid w:val="FF3E22D8"/>
    <w:rsid w:val="FF7F9C75"/>
    <w:rsid w:val="FF8D3A9D"/>
    <w:rsid w:val="FFBFD0DC"/>
    <w:rsid w:val="FFDF63D4"/>
    <w:rsid w:val="FFEB9A60"/>
    <w:rsid w:val="FFFE04A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napToGrid w:val="0"/>
      <w:spacing w:before="60" w:after="60" w:line="312" w:lineRule="auto"/>
    </w:pPr>
    <w:rPr>
      <w:rFonts w:asciiTheme="minorHAnsi" w:hAnsiTheme="minorHAnsi" w:eastAsiaTheme="minorEastAsia" w:cstheme="minorBidi"/>
      <w:color w:val="333333"/>
      <w:kern w:val="2"/>
      <w:sz w:val="22"/>
      <w:szCs w:val="22"/>
      <w:lang w:val="en-US" w:eastAsia="zh-CN" w:bidi="ar-SA"/>
    </w:rPr>
  </w:style>
  <w:style w:type="paragraph" w:styleId="2">
    <w:name w:val="heading 1"/>
    <w:basedOn w:val="1"/>
    <w:next w:val="1"/>
    <w:autoRedefine/>
    <w:qFormat/>
    <w:uiPriority w:val="9"/>
    <w:pPr>
      <w:keepNext/>
      <w:keepLines/>
      <w:spacing w:before="0" w:after="0" w:line="408" w:lineRule="auto"/>
      <w:outlineLvl w:val="0"/>
    </w:pPr>
    <w:rPr>
      <w:b/>
      <w:bCs/>
      <w:color w:val="1A1A1A"/>
      <w:sz w:val="36"/>
      <w:szCs w:val="36"/>
    </w:rPr>
  </w:style>
  <w:style w:type="paragraph" w:styleId="3">
    <w:name w:val="heading 2"/>
    <w:basedOn w:val="1"/>
    <w:next w:val="1"/>
    <w:autoRedefine/>
    <w:qFormat/>
    <w:uiPriority w:val="9"/>
    <w:pPr>
      <w:keepNext/>
      <w:keepLines/>
      <w:spacing w:before="0" w:after="0" w:line="408" w:lineRule="auto"/>
      <w:outlineLvl w:val="1"/>
    </w:pPr>
    <w:rPr>
      <w:b/>
      <w:bCs/>
      <w:color w:val="1A1A1A"/>
      <w:sz w:val="32"/>
      <w:szCs w:val="32"/>
    </w:rPr>
  </w:style>
  <w:style w:type="paragraph" w:styleId="4">
    <w:name w:val="heading 3"/>
    <w:basedOn w:val="1"/>
    <w:next w:val="1"/>
    <w:autoRedefine/>
    <w:qFormat/>
    <w:uiPriority w:val="9"/>
    <w:pPr>
      <w:keepNext/>
      <w:keepLines/>
      <w:spacing w:before="0" w:after="0" w:line="408" w:lineRule="auto"/>
      <w:outlineLvl w:val="2"/>
    </w:pPr>
    <w:rPr>
      <w:b/>
      <w:bCs/>
      <w:color w:val="1A1A1A"/>
      <w:sz w:val="28"/>
      <w:szCs w:val="28"/>
    </w:rPr>
  </w:style>
  <w:style w:type="paragraph" w:styleId="5">
    <w:name w:val="heading 4"/>
    <w:basedOn w:val="1"/>
    <w:next w:val="1"/>
    <w:autoRedefine/>
    <w:qFormat/>
    <w:uiPriority w:val="9"/>
    <w:pPr>
      <w:keepNext/>
      <w:keepLines/>
      <w:spacing w:before="0" w:after="0" w:line="408" w:lineRule="auto"/>
      <w:outlineLvl w:val="3"/>
    </w:pPr>
    <w:rPr>
      <w:b/>
      <w:bCs/>
      <w:color w:val="1A1A1A"/>
      <w:sz w:val="24"/>
      <w:szCs w:val="24"/>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6">
    <w:name w:val="caption"/>
    <w:basedOn w:val="1"/>
    <w:next w:val="1"/>
    <w:autoRedefine/>
    <w:semiHidden/>
    <w:unhideWhenUsed/>
    <w:qFormat/>
    <w:uiPriority w:val="0"/>
    <w:rPr>
      <w:rFonts w:ascii="Arial" w:hAnsi="Arial" w:eastAsia="黑体"/>
      <w:sz w:val="20"/>
    </w:rPr>
  </w:style>
  <w:style w:type="paragraph" w:styleId="7">
    <w:name w:val="footer"/>
    <w:basedOn w:val="1"/>
    <w:autoRedefine/>
    <w:semiHidden/>
    <w:unhideWhenUsed/>
    <w:qFormat/>
    <w:uiPriority w:val="99"/>
    <w:pPr>
      <w:tabs>
        <w:tab w:val="center" w:pos="4153"/>
        <w:tab w:val="right" w:pos="8306"/>
      </w:tabs>
      <w:snapToGrid w:val="0"/>
      <w:jc w:val="left"/>
    </w:pPr>
    <w:rPr>
      <w:sz w:val="18"/>
    </w:rPr>
  </w:style>
  <w:style w:type="paragraph" w:styleId="8">
    <w:name w:val="header"/>
    <w:basedOn w:val="1"/>
    <w:autoRedefine/>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semiHidden/>
    <w:unhideWhenUsed/>
    <w:qFormat/>
    <w:uiPriority w:val="39"/>
  </w:style>
  <w:style w:type="paragraph" w:styleId="10">
    <w:name w:val="toc 2"/>
    <w:basedOn w:val="1"/>
    <w:next w:val="1"/>
    <w:semiHidden/>
    <w:unhideWhenUsed/>
    <w:qFormat/>
    <w:uiPriority w:val="39"/>
    <w:pPr>
      <w:ind w:left="420" w:leftChars="200"/>
    </w:pPr>
  </w:style>
  <w:style w:type="paragraph" w:styleId="11">
    <w:name w:val="Normal (Web)"/>
    <w:basedOn w:val="1"/>
    <w:autoRedefine/>
    <w:qFormat/>
    <w:uiPriority w:val="0"/>
    <w:pPr>
      <w:snapToGrid w:val="0"/>
      <w:spacing w:before="100" w:beforeAutospacing="1" w:after="100" w:afterAutospacing="1" w:line="312" w:lineRule="auto"/>
    </w:pPr>
    <w:rPr>
      <w:rFonts w:ascii="Times New Roman" w:hAnsi="Times New Roman" w:eastAsia="宋体" w:cs="Times New Roman"/>
      <w:color w:val="333333"/>
      <w:kern w:val="2"/>
      <w:sz w:val="24"/>
      <w:szCs w:val="24"/>
      <w:lang w:val="en-US" w:eastAsia="zh-CN" w:bidi="ar-SA"/>
    </w:rPr>
  </w:style>
  <w:style w:type="paragraph" w:styleId="12">
    <w:name w:val="Title"/>
    <w:basedOn w:val="1"/>
    <w:next w:val="1"/>
    <w:autoRedefine/>
    <w:qFormat/>
    <w:uiPriority w:val="9"/>
    <w:pPr>
      <w:keepNext/>
      <w:keepLines/>
      <w:spacing w:before="0" w:after="0" w:line="408" w:lineRule="auto"/>
      <w:jc w:val="center"/>
      <w:outlineLvl w:val="0"/>
    </w:pPr>
    <w:rPr>
      <w:b/>
      <w:bCs/>
      <w:color w:val="1A1A1A"/>
      <w:sz w:val="48"/>
      <w:szCs w:val="48"/>
    </w:rPr>
  </w:style>
  <w:style w:type="table" w:styleId="14">
    <w:name w:val="Table Grid"/>
    <w:basedOn w:val="13"/>
    <w:autoRedefine/>
    <w:qFormat/>
    <w:uiPriority w:val="39"/>
    <w:tblP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Pr>
    <w:tcPr>
      <w:vAlign w:val="center"/>
    </w:tcPr>
  </w:style>
  <w:style w:type="character" w:styleId="16">
    <w:name w:val="Strong"/>
    <w:basedOn w:val="15"/>
    <w:autoRedefine/>
    <w:qFormat/>
    <w:uiPriority w:val="0"/>
    <w:rPr>
      <w:rFonts w:ascii="Times New Roman" w:hAnsi="Times New Roman" w:eastAsia="宋体" w:cs="Times New Roman"/>
      <w:b/>
    </w:rPr>
  </w:style>
  <w:style w:type="character" w:styleId="17">
    <w:name w:val="Hyperlink"/>
    <w:basedOn w:val="15"/>
    <w:autoRedefine/>
    <w:qFormat/>
    <w:uiPriority w:val="0"/>
    <w:rPr>
      <w:color w:val="0000FF"/>
      <w:u w:val="single"/>
    </w:rPr>
  </w:style>
  <w:style w:type="paragraph" w:customStyle="1" w:styleId="18">
    <w:name w:val="msobibliography"/>
    <w:next w:val="1"/>
    <w:autoRedefine/>
    <w:qFormat/>
    <w:uiPriority w:val="0"/>
    <w:pPr>
      <w:widowControl w:val="0"/>
      <w:snapToGrid w:val="0"/>
      <w:spacing w:before="60" w:after="60" w:line="312" w:lineRule="auto"/>
      <w:jc w:val="both"/>
    </w:pPr>
    <w:rPr>
      <w:rFonts w:hint="eastAsia" w:ascii="等线" w:hAnsi="等线" w:eastAsia="等线" w:cs="Times New Roman"/>
      <w:color w:val="333333"/>
      <w:kern w:val="2"/>
      <w:sz w:val="21"/>
      <w:szCs w:val="22"/>
      <w:lang w:val="en-US" w:eastAsia="zh-CN" w:bidi="ar-SA"/>
    </w:rPr>
  </w:style>
  <w:style w:type="character" w:customStyle="1" w:styleId="19">
    <w:name w:val="15"/>
    <w:basedOn w:val="15"/>
    <w:autoRedefine/>
    <w:qFormat/>
    <w:uiPriority w:val="0"/>
    <w:rPr>
      <w:rFonts w:hint="default" w:ascii="Arial" w:hAnsi="Arial" w:cs="Arial"/>
      <w:color w:val="000000"/>
      <w:sz w:val="20"/>
      <w:szCs w:val="20"/>
    </w:rPr>
  </w:style>
  <w:style w:type="character" w:customStyle="1" w:styleId="20">
    <w:name w:val="16"/>
    <w:basedOn w:val="15"/>
    <w:autoRedefine/>
    <w:qFormat/>
    <w:uiPriority w:val="0"/>
    <w:rPr>
      <w:rFonts w:hint="eastAsia" w:ascii="宋体" w:hAnsi="宋体" w:eastAsia="宋体"/>
      <w:color w:val="000000"/>
      <w:sz w:val="20"/>
      <w:szCs w:val="20"/>
    </w:rPr>
  </w:style>
  <w:style w:type="paragraph" w:customStyle="1" w:styleId="21">
    <w:name w:val="WPSOffice手动目录 1"/>
    <w:autoRedefine/>
    <w:qFormat/>
    <w:uiPriority w:val="0"/>
    <w:pPr>
      <w:ind w:leftChars="0"/>
    </w:pPr>
    <w:rPr>
      <w:rFonts w:ascii="Times New Roman" w:hAnsi="Times New Roman" w:eastAsia="宋体" w:cs="Times New Roman"/>
      <w:sz w:val="20"/>
      <w:szCs w:val="20"/>
    </w:rPr>
  </w:style>
  <w:style w:type="paragraph" w:customStyle="1" w:styleId="22">
    <w:name w:val="WPSOffice手动目录 2"/>
    <w:autoRedefine/>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83</Pages>
  <Words>19179</Words>
  <Characters>21751</Characters>
  <Lines>1</Lines>
  <Paragraphs>1</Paragraphs>
  <TotalTime>8</TotalTime>
  <ScaleCrop>false</ScaleCrop>
  <LinksUpToDate>false</LinksUpToDate>
  <CharactersWithSpaces>24433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2024-04-13T08:18:00Z</dcterms:created>
  <dc:creator>39286</dc:creator>
  <cp:lastModifiedBy>凌通盛泰</cp:lastModifiedBy>
  <dcterms:modified xsi:type="dcterms:W3CDTF">2024-05-20T02:44:15Z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7FA6D6156C4F47E58D450E0E9609C587_13</vt:lpwstr>
  </property>
</Properties>
</file>