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A3" w:rsidRDefault="00DC16A3" w:rsidP="00DC16A3">
      <w:pPr>
        <w:pStyle w:val="a5"/>
        <w:spacing w:before="0" w:beforeAutospacing="0" w:after="0" w:afterAutospacing="0" w:line="360" w:lineRule="atLeast"/>
        <w:jc w:val="center"/>
        <w:rPr>
          <w:rStyle w:val="a6"/>
          <w:rFonts w:ascii="Helvetica" w:hAnsi="Helvetica" w:cs="Helvetica" w:hint="eastAsia"/>
          <w:color w:val="3E3E3E"/>
        </w:rPr>
      </w:pPr>
      <w:r>
        <w:rPr>
          <w:rStyle w:val="a6"/>
          <w:rFonts w:ascii="Helvetica" w:hAnsi="Helvetica" w:cs="Helvetica"/>
          <w:color w:val="3E3E3E"/>
        </w:rPr>
        <w:t>证券期货经营机构私募资产管理计划备案管理规范第</w:t>
      </w:r>
      <w:r>
        <w:rPr>
          <w:rStyle w:val="a6"/>
          <w:rFonts w:ascii="Helvetica" w:hAnsi="Helvetica" w:cs="Helvetica"/>
          <w:color w:val="3E3E3E"/>
        </w:rPr>
        <w:t>3</w:t>
      </w:r>
      <w:r>
        <w:rPr>
          <w:rStyle w:val="a6"/>
          <w:rFonts w:ascii="Helvetica" w:hAnsi="Helvetica" w:cs="Helvetica"/>
          <w:color w:val="3E3E3E"/>
        </w:rPr>
        <w:t>号</w:t>
      </w:r>
      <w:r>
        <w:rPr>
          <w:rStyle w:val="a6"/>
          <w:rFonts w:ascii="Helvetica" w:hAnsi="Helvetica" w:cs="Helvetica"/>
          <w:color w:val="3E3E3E"/>
        </w:rPr>
        <w:t>--</w:t>
      </w:r>
      <w:r>
        <w:rPr>
          <w:rStyle w:val="a6"/>
          <w:rFonts w:ascii="Helvetica" w:hAnsi="Helvetica" w:cs="Helvetica"/>
          <w:color w:val="3E3E3E"/>
        </w:rPr>
        <w:t>结构化资产管理计划</w:t>
      </w:r>
    </w:p>
    <w:p w:rsidR="00DC16A3" w:rsidRDefault="00DC16A3" w:rsidP="00DC16A3">
      <w:pPr>
        <w:pStyle w:val="a5"/>
        <w:spacing w:before="0" w:beforeAutospacing="0" w:after="0" w:afterAutospacing="0" w:line="360" w:lineRule="atLeast"/>
        <w:jc w:val="center"/>
        <w:rPr>
          <w:rFonts w:ascii="Helvetica" w:hAnsi="Helvetica" w:cs="Helvetica"/>
          <w:color w:val="3E3E3E"/>
        </w:rPr>
      </w:pPr>
    </w:p>
    <w:p w:rsidR="00DC16A3" w:rsidRDefault="00DC16A3" w:rsidP="00DC16A3">
      <w:pPr>
        <w:pStyle w:val="a5"/>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证券期货经营机构开展私募资产管理业务，设立、运作结构化资产管理计划，应当严格遵守《证券期货经营机构私募资产管理业务运作管理暂行规定》（下称《暂行规定》）有关要求，并符合以下规定：</w:t>
      </w:r>
    </w:p>
    <w:p w:rsidR="00DC16A3" w:rsidRDefault="00DC16A3" w:rsidP="00DC16A3">
      <w:pPr>
        <w:pStyle w:val="a5"/>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一、严格按照</w:t>
      </w:r>
      <w:r>
        <w:rPr>
          <w:rFonts w:ascii="Helvetica" w:hAnsi="Helvetica" w:cs="Helvetica"/>
          <w:color w:val="3E3E3E"/>
        </w:rPr>
        <w:t>“</w:t>
      </w:r>
      <w:r>
        <w:rPr>
          <w:rFonts w:ascii="Helvetica" w:hAnsi="Helvetica" w:cs="Helvetica"/>
          <w:color w:val="3E3E3E"/>
        </w:rPr>
        <w:t>利益共享、风险共担、风险与收益相匹配</w:t>
      </w:r>
      <w:r>
        <w:rPr>
          <w:rFonts w:ascii="Helvetica" w:hAnsi="Helvetica" w:cs="Helvetica"/>
          <w:color w:val="3E3E3E"/>
        </w:rPr>
        <w:t>”</w:t>
      </w:r>
      <w:r>
        <w:rPr>
          <w:rFonts w:ascii="Helvetica" w:hAnsi="Helvetica" w:cs="Helvetica"/>
          <w:color w:val="3E3E3E"/>
        </w:rPr>
        <w:t>原则设计结构化资产管理计划。所谓利益共享、风险共担、风险与收益相匹配，是指在结构化资产管理计划产生投资收益或出现投资亏损时，所有投资者均应当享受收益或承担亏损，但优先级投资者与劣后级投资者可以在合同中合理约定享受收益和承担亏损的比例，且该比例应当平等适用于享受收益和承担亏损两种情况。</w:t>
      </w:r>
    </w:p>
    <w:p w:rsidR="00DC16A3" w:rsidRDefault="00DC16A3" w:rsidP="00DC16A3">
      <w:pPr>
        <w:pStyle w:val="a5"/>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二、结构化资产管理计划合同中不得约定劣后级投资者本金先行承担亏损、单方面提供增强资金等保障优先级投资者利益的内容。</w:t>
      </w:r>
    </w:p>
    <w:p w:rsidR="00DC16A3" w:rsidRDefault="00DC16A3" w:rsidP="00DC16A3">
      <w:pPr>
        <w:pStyle w:val="a5"/>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三、结构化资产管理计划应当根据投资标的实际产生的收益进行计提或分配，出现亏损或未实际实现投资收益的，不得计提或分配收益。</w:t>
      </w:r>
    </w:p>
    <w:p w:rsidR="00DC16A3" w:rsidRDefault="00DC16A3" w:rsidP="00DC16A3">
      <w:pPr>
        <w:pStyle w:val="a5"/>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四、资产管理人可以按照《暂行规定》要求，通过以自有资金认购的资产管理计划份额先行承担亏损的形式提供有限风险补偿，但不得以获取高于按份额比例计算的收益、提取业绩报酬或浮动管理费等方式变相获取超额收益。</w:t>
      </w:r>
    </w:p>
    <w:p w:rsidR="00DC16A3" w:rsidRDefault="00DC16A3" w:rsidP="00DC16A3">
      <w:pPr>
        <w:pStyle w:val="a5"/>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五、结构化资产管理计划的投资者不得直接或间接影响资产管理人投资运作（提供投资建议服务的第三方机构同时认购优先级份额的情况除外），不得通过合同约定将结构化资产管理计划异化为优先级投资者为劣后级投资者变相提供融资的产品。</w:t>
      </w:r>
    </w:p>
    <w:p w:rsidR="00DC16A3" w:rsidRDefault="00DC16A3" w:rsidP="00DC16A3">
      <w:pPr>
        <w:pStyle w:val="a5"/>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六、结构化资产管理计划合同中应明确其所属类别，约定相应投资范围及投资比例、杠杆倍数限制等内容。合同约定投资其他金融产品的，资产管理人应当依据勤勉尽责的受托义务要求，履行向下穿透审查义务，即向底层资金方向进行穿透审查，以确定受托资金的最终投资方向符合《暂行规定》在杠杆倍数等方面的限制性要求。</w:t>
      </w:r>
    </w:p>
    <w:p w:rsidR="00DC16A3" w:rsidRDefault="00DC16A3" w:rsidP="00DC16A3">
      <w:pPr>
        <w:pStyle w:val="a5"/>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证券期货经营机构不得以规避《暂行规定》及本规范要求为目的，故意安排其他结构化金融产品作为委托资金，通过嵌套资产管理计划的形式，变相设立不符合规定的结构化资产管理计划，或明知委托资金属于结构化金融产品，仍配合其进行止损平仓等保本保收益操作。</w:t>
      </w:r>
    </w:p>
    <w:p w:rsidR="00DC16A3" w:rsidRDefault="00DC16A3" w:rsidP="00DC16A3">
      <w:pPr>
        <w:pStyle w:val="a5"/>
        <w:spacing w:before="75" w:beforeAutospacing="0" w:after="150" w:afterAutospacing="0" w:line="360" w:lineRule="atLeast"/>
        <w:ind w:firstLine="480"/>
        <w:rPr>
          <w:rFonts w:ascii="Helvetica" w:hAnsi="Helvetica" w:cs="Helvetica"/>
          <w:color w:val="3E3E3E"/>
        </w:rPr>
      </w:pPr>
      <w:r>
        <w:rPr>
          <w:rFonts w:ascii="Helvetica" w:hAnsi="Helvetica" w:cs="Helvetica"/>
          <w:color w:val="3E3E3E"/>
        </w:rPr>
        <w:t>七、结构化资产管理计划可以通过业绩比较基准形式向优先级投资者进行推介，但应同时说明业绩比较对象、业绩比较基准测算依据和测算过程等信息。结构化资产管理计划的业绩比较对象应当与其投资标的、投资策略直接相关。</w:t>
      </w:r>
    </w:p>
    <w:p w:rsidR="00E1274C" w:rsidRDefault="00E1274C"/>
    <w:sectPr w:rsidR="00E127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74C" w:rsidRDefault="00E1274C" w:rsidP="00DC16A3">
      <w:r>
        <w:separator/>
      </w:r>
    </w:p>
  </w:endnote>
  <w:endnote w:type="continuationSeparator" w:id="1">
    <w:p w:rsidR="00E1274C" w:rsidRDefault="00E1274C" w:rsidP="00DC16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74C" w:rsidRDefault="00E1274C" w:rsidP="00DC16A3">
      <w:r>
        <w:separator/>
      </w:r>
    </w:p>
  </w:footnote>
  <w:footnote w:type="continuationSeparator" w:id="1">
    <w:p w:rsidR="00E1274C" w:rsidRDefault="00E1274C" w:rsidP="00DC16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6A3"/>
    <w:rsid w:val="00DC16A3"/>
    <w:rsid w:val="00E12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6A3"/>
    <w:rPr>
      <w:sz w:val="18"/>
      <w:szCs w:val="18"/>
    </w:rPr>
  </w:style>
  <w:style w:type="paragraph" w:styleId="a4">
    <w:name w:val="footer"/>
    <w:basedOn w:val="a"/>
    <w:link w:val="Char0"/>
    <w:uiPriority w:val="99"/>
    <w:semiHidden/>
    <w:unhideWhenUsed/>
    <w:rsid w:val="00DC16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16A3"/>
    <w:rPr>
      <w:sz w:val="18"/>
      <w:szCs w:val="18"/>
    </w:rPr>
  </w:style>
  <w:style w:type="paragraph" w:styleId="a5">
    <w:name w:val="Normal (Web)"/>
    <w:basedOn w:val="a"/>
    <w:uiPriority w:val="99"/>
    <w:semiHidden/>
    <w:unhideWhenUsed/>
    <w:rsid w:val="00DC16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16A3"/>
    <w:rPr>
      <w:b/>
      <w:bCs/>
    </w:rPr>
  </w:style>
</w:styles>
</file>

<file path=word/webSettings.xml><?xml version="1.0" encoding="utf-8"?>
<w:webSettings xmlns:r="http://schemas.openxmlformats.org/officeDocument/2006/relationships" xmlns:w="http://schemas.openxmlformats.org/wordprocessingml/2006/main">
  <w:divs>
    <w:div w:id="1450855551">
      <w:bodyDiv w:val="1"/>
      <w:marLeft w:val="0"/>
      <w:marRight w:val="0"/>
      <w:marTop w:val="0"/>
      <w:marBottom w:val="0"/>
      <w:divBdr>
        <w:top w:val="none" w:sz="0" w:space="0" w:color="auto"/>
        <w:left w:val="none" w:sz="0" w:space="0" w:color="auto"/>
        <w:bottom w:val="none" w:sz="0" w:space="0" w:color="auto"/>
        <w:right w:val="none" w:sz="0" w:space="0" w:color="auto"/>
      </w:divBdr>
      <w:divsChild>
        <w:div w:id="82320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Xinxiwang</dc:creator>
  <cp:keywords/>
  <dc:description/>
  <cp:lastModifiedBy>Xinxiwang</cp:lastModifiedBy>
  <cp:revision>3</cp:revision>
  <dcterms:created xsi:type="dcterms:W3CDTF">2016-10-24T06:51:00Z</dcterms:created>
  <dcterms:modified xsi:type="dcterms:W3CDTF">2016-10-24T06:51:00Z</dcterms:modified>
</cp:coreProperties>
</file>